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58" w:rsidRPr="00316D01" w:rsidRDefault="00F34114" w:rsidP="00F34114">
      <w:pPr>
        <w:pStyle w:val="Heading1"/>
      </w:pPr>
      <w:bookmarkStart w:id="0" w:name="_GoBack"/>
      <w:bookmarkEnd w:id="0"/>
      <w:r>
        <w:t xml:space="preserve">                </w:t>
      </w:r>
      <w:r w:rsidR="00FF6B57" w:rsidRPr="00316D01">
        <w:t>Portland-Heywood</w:t>
      </w:r>
      <w:r w:rsidR="00EC789D" w:rsidRPr="00316D01">
        <w:t xml:space="preserve"> Clinical Placement Partnership </w:t>
      </w:r>
    </w:p>
    <w:p w:rsidR="00EC789D" w:rsidRDefault="00EC789D"/>
    <w:p w:rsidR="00F34114" w:rsidRDefault="00F34114" w:rsidP="00CA5F77">
      <w:pPr>
        <w:pStyle w:val="Heading1"/>
        <w:jc w:val="center"/>
      </w:pPr>
      <w:r>
        <w:t>FINAL</w:t>
      </w:r>
    </w:p>
    <w:p w:rsidR="00EC789D" w:rsidRPr="00316D01" w:rsidRDefault="00EC789D" w:rsidP="00CA5F77">
      <w:pPr>
        <w:pStyle w:val="Heading1"/>
        <w:jc w:val="center"/>
      </w:pPr>
      <w:r w:rsidRPr="00316D01">
        <w:t>Memorandum of Understanding</w:t>
      </w:r>
    </w:p>
    <w:p w:rsidR="00EC789D" w:rsidRPr="00316D01" w:rsidRDefault="00316D01" w:rsidP="00CA5F77">
      <w:pPr>
        <w:pStyle w:val="Heading1"/>
        <w:jc w:val="center"/>
        <w:rPr>
          <w:b w:val="0"/>
        </w:rPr>
      </w:pPr>
      <w:proofErr w:type="gramStart"/>
      <w:r w:rsidRPr="00316D01">
        <w:rPr>
          <w:b w:val="0"/>
        </w:rPr>
        <w:t>b</w:t>
      </w:r>
      <w:r w:rsidR="00EC789D" w:rsidRPr="00316D01">
        <w:rPr>
          <w:b w:val="0"/>
        </w:rPr>
        <w:t>etween</w:t>
      </w:r>
      <w:proofErr w:type="gramEnd"/>
    </w:p>
    <w:p w:rsidR="00EC789D" w:rsidRPr="00316D01" w:rsidRDefault="00EC789D"/>
    <w:p w:rsidR="00EC789D" w:rsidRPr="00316D01" w:rsidRDefault="00EC789D" w:rsidP="00CA5F77">
      <w:pPr>
        <w:pStyle w:val="Heading1"/>
        <w:jc w:val="center"/>
      </w:pPr>
      <w:r w:rsidRPr="00316D01">
        <w:t>Active Health</w:t>
      </w:r>
    </w:p>
    <w:p w:rsidR="00EC789D" w:rsidRPr="00316D01" w:rsidRDefault="00EC789D" w:rsidP="00CA5F77">
      <w:pPr>
        <w:pStyle w:val="Heading1"/>
        <w:jc w:val="center"/>
      </w:pPr>
      <w:r w:rsidRPr="00316D01">
        <w:t xml:space="preserve">Dhauwurd Wurrung Elderly Community Health Service </w:t>
      </w:r>
      <w:proofErr w:type="spellStart"/>
      <w:r w:rsidRPr="00316D01">
        <w:t>Inc</w:t>
      </w:r>
      <w:proofErr w:type="spellEnd"/>
    </w:p>
    <w:p w:rsidR="00EC789D" w:rsidRPr="00316D01" w:rsidRDefault="00EC789D" w:rsidP="00CA5F77">
      <w:pPr>
        <w:pStyle w:val="Heading1"/>
        <w:jc w:val="center"/>
      </w:pPr>
      <w:r w:rsidRPr="00316D01">
        <w:t>Heywood Rural Health</w:t>
      </w:r>
    </w:p>
    <w:p w:rsidR="00EC789D" w:rsidRPr="00316D01" w:rsidRDefault="00EC789D" w:rsidP="00CA5F77">
      <w:pPr>
        <w:pStyle w:val="Heading1"/>
        <w:jc w:val="center"/>
      </w:pPr>
      <w:r w:rsidRPr="00316D01">
        <w:t>Portland District Health</w:t>
      </w:r>
    </w:p>
    <w:p w:rsidR="00EC789D" w:rsidRDefault="00EC789D" w:rsidP="00CA5F77">
      <w:pPr>
        <w:pStyle w:val="Heading1"/>
        <w:jc w:val="center"/>
      </w:pPr>
      <w:r>
        <w:t xml:space="preserve">Winda </w:t>
      </w:r>
      <w:proofErr w:type="spellStart"/>
      <w:r>
        <w:t>marra</w:t>
      </w:r>
      <w:proofErr w:type="spellEnd"/>
      <w:r>
        <w:t xml:space="preserve"> Aboriginal Co-operative</w:t>
      </w:r>
    </w:p>
    <w:p w:rsidR="0048106D" w:rsidRDefault="0048106D" w:rsidP="0048106D"/>
    <w:p w:rsidR="0048106D" w:rsidRPr="0048106D" w:rsidRDefault="0048106D" w:rsidP="0048106D"/>
    <w:p w:rsidR="00EC789D" w:rsidRDefault="00C325E2" w:rsidP="00CA5F77">
      <w:pPr>
        <w:pStyle w:val="Heading1"/>
        <w:jc w:val="center"/>
      </w:pPr>
      <w:r>
        <w:t>October 2012</w:t>
      </w:r>
      <w:r w:rsidR="00F34114">
        <w:t xml:space="preserve"> – December</w:t>
      </w:r>
      <w:r>
        <w:t xml:space="preserve"> 2013</w:t>
      </w:r>
    </w:p>
    <w:p w:rsidR="006400EE" w:rsidRDefault="006400EE" w:rsidP="006400EE">
      <w:pPr>
        <w:jc w:val="center"/>
      </w:pPr>
    </w:p>
    <w:p w:rsidR="00EC789D" w:rsidRDefault="00EC789D"/>
    <w:p w:rsidR="00CA5F77" w:rsidRDefault="00CA5F77"/>
    <w:p w:rsidR="00CA5F77" w:rsidRDefault="00CA5F77"/>
    <w:p w:rsidR="00C83DC3" w:rsidRDefault="00C83DC3">
      <w:r>
        <w:br w:type="page"/>
      </w:r>
    </w:p>
    <w:p w:rsidR="00CA5F77" w:rsidRDefault="00CA5F77"/>
    <w:p w:rsidR="006400EE" w:rsidRDefault="00316D01" w:rsidP="00316D01">
      <w:pPr>
        <w:pStyle w:val="Heading1"/>
      </w:pPr>
      <w:r>
        <w:t>PART 1 Preliminaries</w:t>
      </w:r>
    </w:p>
    <w:p w:rsidR="00316D01" w:rsidRPr="00316D01" w:rsidRDefault="00316D01" w:rsidP="00316D01"/>
    <w:p w:rsidR="004C49A9" w:rsidRDefault="004C49A9" w:rsidP="004C49A9">
      <w:pPr>
        <w:jc w:val="both"/>
        <w:rPr>
          <w:lang w:eastAsia="x-none"/>
        </w:rPr>
      </w:pPr>
      <w:r>
        <w:rPr>
          <w:lang w:eastAsia="x-none"/>
        </w:rPr>
        <w:t xml:space="preserve">In 2011 Dhauwurd Wurrung Elderly Community Health Service </w:t>
      </w:r>
      <w:proofErr w:type="spellStart"/>
      <w:r>
        <w:rPr>
          <w:lang w:eastAsia="x-none"/>
        </w:rPr>
        <w:t>Inc</w:t>
      </w:r>
      <w:proofErr w:type="spellEnd"/>
      <w:r>
        <w:rPr>
          <w:lang w:eastAsia="x-none"/>
        </w:rPr>
        <w:t xml:space="preserve"> </w:t>
      </w:r>
      <w:proofErr w:type="gramStart"/>
      <w:r>
        <w:rPr>
          <w:lang w:eastAsia="x-none"/>
        </w:rPr>
        <w:t>( DWECH</w:t>
      </w:r>
      <w:proofErr w:type="gramEnd"/>
      <w:r>
        <w:rPr>
          <w:lang w:eastAsia="x-none"/>
        </w:rPr>
        <w:t xml:space="preserve">) applied for Victorian Government and Health Workforce Australia funding to introduce undergraduate clinical placements in  culturally supported settings. </w:t>
      </w:r>
    </w:p>
    <w:p w:rsidR="00C83DC3" w:rsidRDefault="00C83DC3" w:rsidP="00C83DC3">
      <w:pPr>
        <w:jc w:val="both"/>
        <w:rPr>
          <w:rFonts w:cs="Arial"/>
        </w:rPr>
      </w:pPr>
      <w:r>
        <w:rPr>
          <w:rFonts w:cs="Arial"/>
        </w:rPr>
        <w:t xml:space="preserve">In 2012, the partnership was invited to apply for additional funding to expand the number of settings, students and disciplines. </w:t>
      </w:r>
    </w:p>
    <w:p w:rsidR="00CE42EE" w:rsidRDefault="00C83DC3" w:rsidP="004C49A9">
      <w:pPr>
        <w:jc w:val="both"/>
        <w:rPr>
          <w:rFonts w:cs="Arial"/>
        </w:rPr>
      </w:pPr>
      <w:r>
        <w:rPr>
          <w:lang w:eastAsia="x-none"/>
        </w:rPr>
        <w:t>Both</w:t>
      </w:r>
      <w:r w:rsidR="004C49A9">
        <w:rPr>
          <w:lang w:eastAsia="x-none"/>
        </w:rPr>
        <w:t xml:space="preserve"> submission</w:t>
      </w:r>
      <w:r>
        <w:rPr>
          <w:lang w:eastAsia="x-none"/>
        </w:rPr>
        <w:t>s were</w:t>
      </w:r>
      <w:r w:rsidR="004C49A9">
        <w:rPr>
          <w:lang w:eastAsia="x-none"/>
        </w:rPr>
        <w:t xml:space="preserve"> successful and t</w:t>
      </w:r>
      <w:r w:rsidR="004C49A9">
        <w:rPr>
          <w:rFonts w:cs="Arial"/>
        </w:rPr>
        <w:t xml:space="preserve">he </w:t>
      </w:r>
      <w:r>
        <w:rPr>
          <w:rFonts w:cs="Arial"/>
        </w:rPr>
        <w:t>project objectives include:</w:t>
      </w:r>
    </w:p>
    <w:p w:rsidR="00CE42EE" w:rsidRDefault="00C83DC3" w:rsidP="00C83D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</w:t>
      </w:r>
      <w:r w:rsidR="00CE42EE">
        <w:rPr>
          <w:rFonts w:cs="Arial"/>
        </w:rPr>
        <w:t xml:space="preserve">eliver </w:t>
      </w:r>
      <w:r w:rsidR="006C4422" w:rsidRPr="00CE42EE">
        <w:rPr>
          <w:rFonts w:cs="Arial"/>
        </w:rPr>
        <w:t>best practice in clinical placement</w:t>
      </w:r>
      <w:r w:rsidR="00A336D8">
        <w:rPr>
          <w:rFonts w:cs="Arial"/>
        </w:rPr>
        <w:t>s to 23 students for 455 hours;</w:t>
      </w:r>
    </w:p>
    <w:p w:rsidR="00A336D8" w:rsidRDefault="00A336D8" w:rsidP="00C83D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Placements attracting students from medicine, nursing, podiatry, social work, audiology, physiotherapy, pharmacy, occupational therapy and dietetics;</w:t>
      </w:r>
    </w:p>
    <w:p w:rsidR="00CE42EE" w:rsidRDefault="00C83DC3" w:rsidP="00C83D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</w:t>
      </w:r>
      <w:r w:rsidR="004C49A9" w:rsidRPr="00CE42EE">
        <w:rPr>
          <w:rFonts w:cs="Arial"/>
        </w:rPr>
        <w:t>evelop and evaluate a partnership model</w:t>
      </w:r>
      <w:r w:rsidR="006C4422" w:rsidRPr="00CE42EE">
        <w:rPr>
          <w:rFonts w:cs="Arial"/>
        </w:rPr>
        <w:t xml:space="preserve"> across five organisations; </w:t>
      </w:r>
    </w:p>
    <w:p w:rsidR="00CE42EE" w:rsidRDefault="00C83DC3" w:rsidP="00C83D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</w:t>
      </w:r>
      <w:r w:rsidR="00CE42EE">
        <w:rPr>
          <w:rFonts w:cs="Arial"/>
        </w:rPr>
        <w:t>evelop clinical placement tool</w:t>
      </w:r>
      <w:r>
        <w:rPr>
          <w:rFonts w:cs="Arial"/>
        </w:rPr>
        <w:t>s</w:t>
      </w:r>
      <w:r w:rsidR="00CE42EE">
        <w:rPr>
          <w:rFonts w:cs="Arial"/>
        </w:rPr>
        <w:t xml:space="preserve"> that reflect best practice including resources that support orientation to the Portland and Heywood communities; a student </w:t>
      </w:r>
      <w:r>
        <w:rPr>
          <w:rFonts w:cs="Arial"/>
        </w:rPr>
        <w:t xml:space="preserve">and </w:t>
      </w:r>
      <w:r w:rsidR="00CE42EE">
        <w:rPr>
          <w:rFonts w:cs="Arial"/>
        </w:rPr>
        <w:t>clinical supervisors manual</w:t>
      </w:r>
      <w:r>
        <w:rPr>
          <w:rFonts w:cs="Arial"/>
        </w:rPr>
        <w:t>s covering all disciplines and incorporating cultural safety across all settings;</w:t>
      </w:r>
    </w:p>
    <w:p w:rsidR="00CE42EE" w:rsidRDefault="00C83DC3" w:rsidP="00C83D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B</w:t>
      </w:r>
      <w:r w:rsidR="006C4422" w:rsidRPr="00CE42EE">
        <w:rPr>
          <w:rFonts w:cs="Arial"/>
        </w:rPr>
        <w:t>uild clinical supervision capacity</w:t>
      </w:r>
      <w:r>
        <w:rPr>
          <w:rFonts w:cs="Arial"/>
        </w:rPr>
        <w:t xml:space="preserve"> for organisations;</w:t>
      </w:r>
    </w:p>
    <w:p w:rsidR="00CE42EE" w:rsidRDefault="00C83DC3" w:rsidP="00C83D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</w:t>
      </w:r>
      <w:r w:rsidR="006C4422" w:rsidRPr="00CE42EE">
        <w:rPr>
          <w:rFonts w:cs="Arial"/>
        </w:rPr>
        <w:t xml:space="preserve">evelop and deliver cultural safety education material to students and supervisors; </w:t>
      </w:r>
    </w:p>
    <w:p w:rsidR="004C49A9" w:rsidRDefault="00C83DC3" w:rsidP="00C83D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R</w:t>
      </w:r>
      <w:r w:rsidR="00CE42EE">
        <w:rPr>
          <w:rFonts w:cs="Arial"/>
        </w:rPr>
        <w:t xml:space="preserve">efurbish the DWECH Wellington Rd campus to provide </w:t>
      </w:r>
      <w:r w:rsidR="006C4422" w:rsidRPr="00CE42EE">
        <w:rPr>
          <w:rFonts w:cs="Arial"/>
        </w:rPr>
        <w:t xml:space="preserve">a </w:t>
      </w:r>
      <w:r w:rsidR="00CE42EE" w:rsidRPr="00CE42EE">
        <w:rPr>
          <w:rFonts w:cs="Arial"/>
        </w:rPr>
        <w:t>low fidelity primary health care laboratory</w:t>
      </w:r>
      <w:r w:rsidR="00CE42EE">
        <w:rPr>
          <w:rFonts w:cs="Arial"/>
        </w:rPr>
        <w:t>,</w:t>
      </w:r>
      <w:r w:rsidR="00620728">
        <w:rPr>
          <w:rFonts w:cs="Arial"/>
        </w:rPr>
        <w:t xml:space="preserve"> classroom, </w:t>
      </w:r>
      <w:proofErr w:type="gramStart"/>
      <w:r w:rsidR="00CE42EE">
        <w:rPr>
          <w:rFonts w:cs="Arial"/>
        </w:rPr>
        <w:t>supervisors</w:t>
      </w:r>
      <w:proofErr w:type="gramEnd"/>
      <w:r w:rsidR="00CE42EE">
        <w:rPr>
          <w:rFonts w:cs="Arial"/>
        </w:rPr>
        <w:t xml:space="preserve"> space</w:t>
      </w:r>
      <w:r w:rsidR="00CE42EE" w:rsidRPr="00CE42EE">
        <w:rPr>
          <w:rFonts w:cs="Arial"/>
        </w:rPr>
        <w:t xml:space="preserve"> </w:t>
      </w:r>
      <w:r w:rsidR="00CE42EE">
        <w:rPr>
          <w:rFonts w:cs="Arial"/>
        </w:rPr>
        <w:t xml:space="preserve">and five studio apartments for student accommodation. </w:t>
      </w:r>
    </w:p>
    <w:p w:rsidR="00A336D8" w:rsidRPr="00CE42EE" w:rsidRDefault="00A336D8" w:rsidP="00C83D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Evaluate the project and deliver project recommendations.</w:t>
      </w:r>
    </w:p>
    <w:p w:rsidR="004C49A9" w:rsidRDefault="006C4422" w:rsidP="004C49A9">
      <w:pPr>
        <w:jc w:val="both"/>
        <w:rPr>
          <w:rFonts w:cs="Arial"/>
        </w:rPr>
      </w:pPr>
      <w:r>
        <w:rPr>
          <w:rFonts w:cs="Arial"/>
        </w:rPr>
        <w:t>In March</w:t>
      </w:r>
      <w:r w:rsidR="004C49A9">
        <w:rPr>
          <w:rFonts w:cs="Arial"/>
        </w:rPr>
        <w:t xml:space="preserve">, the DWECH Clinical Placement Steering Group formed to </w:t>
      </w:r>
      <w:r w:rsidR="00C83DC3">
        <w:rPr>
          <w:rFonts w:cs="Arial"/>
        </w:rPr>
        <w:t xml:space="preserve">co-operate and support the achievement of these objectives.  </w:t>
      </w:r>
      <w:r w:rsidR="004C49A9">
        <w:rPr>
          <w:rFonts w:cs="Arial"/>
        </w:rPr>
        <w:t>In July 2012, the Group was introduced to the Department</w:t>
      </w:r>
      <w:r w:rsidR="00375F5B">
        <w:rPr>
          <w:rFonts w:cs="Arial"/>
        </w:rPr>
        <w:t xml:space="preserve"> of Health’s </w:t>
      </w:r>
      <w:proofErr w:type="spellStart"/>
      <w:r w:rsidR="00375F5B">
        <w:rPr>
          <w:rFonts w:cs="Arial"/>
        </w:rPr>
        <w:t>VicPlace</w:t>
      </w:r>
      <w:proofErr w:type="spellEnd"/>
      <w:r w:rsidR="00375F5B">
        <w:rPr>
          <w:rFonts w:cs="Arial"/>
        </w:rPr>
        <w:t xml:space="preserve"> </w:t>
      </w:r>
      <w:proofErr w:type="gramStart"/>
      <w:r w:rsidR="00375F5B">
        <w:rPr>
          <w:rFonts w:cs="Arial"/>
        </w:rPr>
        <w:t xml:space="preserve">software </w:t>
      </w:r>
      <w:r w:rsidR="004C49A9">
        <w:rPr>
          <w:rFonts w:cs="Arial"/>
        </w:rPr>
        <w:t xml:space="preserve"> that</w:t>
      </w:r>
      <w:proofErr w:type="gramEnd"/>
      <w:r w:rsidR="004C49A9">
        <w:rPr>
          <w:rFonts w:cs="Arial"/>
        </w:rPr>
        <w:t xml:space="preserve"> will support </w:t>
      </w:r>
      <w:r>
        <w:rPr>
          <w:rFonts w:cs="Arial"/>
        </w:rPr>
        <w:t xml:space="preserve">one project objective </w:t>
      </w:r>
      <w:proofErr w:type="spellStart"/>
      <w:r>
        <w:rPr>
          <w:rFonts w:cs="Arial"/>
        </w:rPr>
        <w:t>ie</w:t>
      </w:r>
      <w:proofErr w:type="spellEnd"/>
      <w:r w:rsidR="00E73582">
        <w:rPr>
          <w:rFonts w:cs="Arial"/>
        </w:rPr>
        <w:t xml:space="preserve"> </w:t>
      </w:r>
      <w:r>
        <w:rPr>
          <w:rFonts w:cs="Arial"/>
        </w:rPr>
        <w:t xml:space="preserve"> </w:t>
      </w:r>
      <w:r>
        <w:rPr>
          <w:rFonts w:cs="Calibri"/>
          <w:color w:val="000000"/>
        </w:rPr>
        <w:t>to d</w:t>
      </w:r>
      <w:r w:rsidR="00C83DC3">
        <w:rPr>
          <w:rFonts w:cs="Calibri"/>
          <w:color w:val="000000"/>
        </w:rPr>
        <w:t>evelop t</w:t>
      </w:r>
      <w:r>
        <w:rPr>
          <w:rFonts w:cs="Arial"/>
        </w:rPr>
        <w:t xml:space="preserve">he </w:t>
      </w:r>
      <w:r w:rsidR="00C83DC3">
        <w:rPr>
          <w:rFonts w:cs="Arial"/>
        </w:rPr>
        <w:t>partnership m</w:t>
      </w:r>
      <w:r>
        <w:rPr>
          <w:rFonts w:cs="Arial"/>
        </w:rPr>
        <w:t>odel.</w:t>
      </w:r>
      <w:r w:rsidR="004C49A9">
        <w:rPr>
          <w:rFonts w:cs="Arial"/>
        </w:rPr>
        <w:t xml:space="preserve"> </w:t>
      </w:r>
    </w:p>
    <w:p w:rsidR="00A336D8" w:rsidRDefault="00C83DC3" w:rsidP="00C83DC3">
      <w:pPr>
        <w:jc w:val="both"/>
      </w:pPr>
      <w:r>
        <w:t>This Memorandum of Understanding sets out a framework of co-operation between partners</w:t>
      </w:r>
      <w:r w:rsidR="00A146AC">
        <w:t xml:space="preserve"> and </w:t>
      </w:r>
      <w:r>
        <w:t>outlines their contribution to the project deliverables.</w:t>
      </w:r>
      <w:r>
        <w:rPr>
          <w:rFonts w:cs="Arial"/>
        </w:rPr>
        <w:t xml:space="preserve"> </w:t>
      </w:r>
      <w:r w:rsidR="005568B3">
        <w:t xml:space="preserve">This MOU is not intended to create legally </w:t>
      </w:r>
      <w:proofErr w:type="gramStart"/>
      <w:r w:rsidR="005568B3">
        <w:t>binding  obligations</w:t>
      </w:r>
      <w:proofErr w:type="gramEnd"/>
      <w:r w:rsidR="005568B3">
        <w:t xml:space="preserve"> on the partners.</w:t>
      </w:r>
    </w:p>
    <w:p w:rsidR="00A336D8" w:rsidRDefault="00A336D8" w:rsidP="00A336D8">
      <w:r>
        <w:br w:type="page"/>
      </w:r>
    </w:p>
    <w:p w:rsidR="00CA5F77" w:rsidRDefault="0032250C" w:rsidP="00316D01">
      <w:pPr>
        <w:pStyle w:val="Heading1"/>
      </w:pPr>
      <w:r w:rsidRPr="0032250C">
        <w:lastRenderedPageBreak/>
        <w:t xml:space="preserve">PART 2 </w:t>
      </w:r>
      <w:r w:rsidR="00316D01">
        <w:t>Principles</w:t>
      </w:r>
    </w:p>
    <w:p w:rsidR="00B647AD" w:rsidRPr="00B647AD" w:rsidRDefault="00375F5B" w:rsidP="00B647A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partner’s</w:t>
      </w:r>
      <w:r w:rsidR="00B647AD" w:rsidRPr="00B647AD">
        <w:rPr>
          <w:rFonts w:asciiTheme="minorHAnsi" w:hAnsiTheme="minorHAnsi" w:cstheme="minorHAnsi"/>
        </w:rPr>
        <w:t xml:space="preserve"> </w:t>
      </w:r>
      <w:r w:rsidR="00ED43BB">
        <w:rPr>
          <w:rFonts w:asciiTheme="minorHAnsi" w:hAnsiTheme="minorHAnsi" w:cstheme="minorHAnsi"/>
        </w:rPr>
        <w:t>value and are</w:t>
      </w:r>
      <w:r w:rsidR="00B647AD" w:rsidRPr="00B647AD">
        <w:rPr>
          <w:rFonts w:asciiTheme="minorHAnsi" w:hAnsiTheme="minorHAnsi" w:cstheme="minorHAnsi"/>
        </w:rPr>
        <w:t xml:space="preserve"> committed to:</w:t>
      </w:r>
    </w:p>
    <w:p w:rsidR="00B647AD" w:rsidRPr="00B647AD" w:rsidRDefault="00B647AD" w:rsidP="00B647AD">
      <w:pPr>
        <w:pStyle w:val="Default"/>
        <w:rPr>
          <w:rFonts w:asciiTheme="minorHAnsi" w:hAnsiTheme="minorHAnsi" w:cstheme="minorHAnsi"/>
        </w:rPr>
      </w:pPr>
    </w:p>
    <w:p w:rsidR="00B647AD" w:rsidRDefault="00B647AD" w:rsidP="00B647AD">
      <w:pPr>
        <w:pStyle w:val="Default"/>
        <w:numPr>
          <w:ilvl w:val="0"/>
          <w:numId w:val="6"/>
        </w:numPr>
        <w:spacing w:after="37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Respectfu</w:t>
      </w:r>
      <w:r w:rsidR="00E73582">
        <w:rPr>
          <w:rFonts w:asciiTheme="minorHAnsi" w:hAnsiTheme="minorHAnsi" w:cstheme="minorHAnsi"/>
          <w:sz w:val="23"/>
          <w:szCs w:val="23"/>
        </w:rPr>
        <w:t>l co-operation</w:t>
      </w:r>
      <w:r w:rsidR="00ED43BB">
        <w:rPr>
          <w:rFonts w:asciiTheme="minorHAnsi" w:hAnsiTheme="minorHAnsi" w:cstheme="minorHAnsi"/>
          <w:sz w:val="23"/>
          <w:szCs w:val="23"/>
        </w:rPr>
        <w:t>;</w:t>
      </w:r>
    </w:p>
    <w:p w:rsidR="00B647AD" w:rsidRPr="00B647AD" w:rsidRDefault="00B647AD" w:rsidP="00B647AD">
      <w:pPr>
        <w:pStyle w:val="Default"/>
        <w:numPr>
          <w:ilvl w:val="0"/>
          <w:numId w:val="6"/>
        </w:numPr>
        <w:spacing w:after="37"/>
        <w:rPr>
          <w:rFonts w:asciiTheme="minorHAnsi" w:hAnsiTheme="minorHAnsi" w:cstheme="minorHAnsi"/>
          <w:sz w:val="23"/>
          <w:szCs w:val="23"/>
        </w:rPr>
      </w:pPr>
      <w:r w:rsidRPr="00B647AD">
        <w:rPr>
          <w:rFonts w:asciiTheme="minorHAnsi" w:hAnsiTheme="minorHAnsi" w:cstheme="minorHAnsi"/>
          <w:sz w:val="23"/>
          <w:szCs w:val="23"/>
        </w:rPr>
        <w:t xml:space="preserve">Working collaboratively and cooperatively together; </w:t>
      </w:r>
    </w:p>
    <w:p w:rsidR="00B647AD" w:rsidRPr="00B647AD" w:rsidRDefault="00B647AD" w:rsidP="00B647AD">
      <w:pPr>
        <w:pStyle w:val="Default"/>
        <w:numPr>
          <w:ilvl w:val="0"/>
          <w:numId w:val="6"/>
        </w:numPr>
        <w:spacing w:after="37"/>
        <w:rPr>
          <w:rFonts w:asciiTheme="minorHAnsi" w:hAnsiTheme="minorHAnsi" w:cstheme="minorHAnsi"/>
          <w:sz w:val="23"/>
          <w:szCs w:val="23"/>
        </w:rPr>
      </w:pPr>
      <w:r w:rsidRPr="00B647AD">
        <w:rPr>
          <w:rFonts w:asciiTheme="minorHAnsi" w:hAnsiTheme="minorHAnsi" w:cstheme="minorHAnsi"/>
          <w:sz w:val="23"/>
          <w:szCs w:val="23"/>
        </w:rPr>
        <w:t xml:space="preserve">Open communication and consideration of the views of partners; </w:t>
      </w:r>
    </w:p>
    <w:p w:rsidR="00B647AD" w:rsidRPr="00B647AD" w:rsidRDefault="00B647AD" w:rsidP="00B647AD">
      <w:pPr>
        <w:pStyle w:val="Default"/>
        <w:numPr>
          <w:ilvl w:val="0"/>
          <w:numId w:val="6"/>
        </w:numPr>
        <w:spacing w:after="37"/>
        <w:rPr>
          <w:rFonts w:asciiTheme="minorHAnsi" w:hAnsiTheme="minorHAnsi" w:cstheme="minorHAnsi"/>
          <w:sz w:val="23"/>
          <w:szCs w:val="23"/>
        </w:rPr>
      </w:pPr>
      <w:r w:rsidRPr="00B647AD">
        <w:rPr>
          <w:rFonts w:asciiTheme="minorHAnsi" w:hAnsiTheme="minorHAnsi" w:cstheme="minorHAnsi"/>
          <w:sz w:val="23"/>
          <w:szCs w:val="23"/>
        </w:rPr>
        <w:t xml:space="preserve">Integrity in all its actions; </w:t>
      </w:r>
    </w:p>
    <w:p w:rsidR="00B647AD" w:rsidRPr="00B647AD" w:rsidRDefault="00B647AD" w:rsidP="00B647AD">
      <w:pPr>
        <w:pStyle w:val="Default"/>
        <w:numPr>
          <w:ilvl w:val="0"/>
          <w:numId w:val="6"/>
        </w:numPr>
        <w:spacing w:after="37"/>
        <w:rPr>
          <w:rFonts w:asciiTheme="minorHAnsi" w:hAnsiTheme="minorHAnsi" w:cstheme="minorHAnsi"/>
          <w:sz w:val="23"/>
          <w:szCs w:val="23"/>
        </w:rPr>
      </w:pPr>
      <w:r w:rsidRPr="00B647AD">
        <w:rPr>
          <w:rFonts w:asciiTheme="minorHAnsi" w:hAnsiTheme="minorHAnsi" w:cstheme="minorHAnsi"/>
          <w:sz w:val="23"/>
          <w:szCs w:val="23"/>
        </w:rPr>
        <w:t xml:space="preserve">Respect for cultural safety; </w:t>
      </w:r>
    </w:p>
    <w:p w:rsidR="00B647AD" w:rsidRPr="00B647AD" w:rsidRDefault="00B647AD" w:rsidP="00B647AD">
      <w:pPr>
        <w:pStyle w:val="Default"/>
        <w:numPr>
          <w:ilvl w:val="0"/>
          <w:numId w:val="6"/>
        </w:numPr>
        <w:spacing w:after="37"/>
        <w:rPr>
          <w:rFonts w:asciiTheme="minorHAnsi" w:hAnsiTheme="minorHAnsi" w:cstheme="minorHAnsi"/>
          <w:sz w:val="23"/>
          <w:szCs w:val="23"/>
        </w:rPr>
      </w:pPr>
      <w:r w:rsidRPr="00B647AD">
        <w:rPr>
          <w:rFonts w:asciiTheme="minorHAnsi" w:hAnsiTheme="minorHAnsi" w:cstheme="minorHAnsi"/>
          <w:sz w:val="23"/>
          <w:szCs w:val="23"/>
        </w:rPr>
        <w:t xml:space="preserve">Respect for roles and competencies; </w:t>
      </w:r>
    </w:p>
    <w:p w:rsidR="00B647AD" w:rsidRPr="00B647AD" w:rsidRDefault="00B647AD" w:rsidP="00B647AD">
      <w:pPr>
        <w:pStyle w:val="Default"/>
        <w:numPr>
          <w:ilvl w:val="0"/>
          <w:numId w:val="6"/>
        </w:numPr>
        <w:spacing w:after="37"/>
        <w:rPr>
          <w:rFonts w:asciiTheme="minorHAnsi" w:hAnsiTheme="minorHAnsi" w:cstheme="minorHAnsi"/>
          <w:sz w:val="23"/>
          <w:szCs w:val="23"/>
        </w:rPr>
      </w:pPr>
      <w:r w:rsidRPr="00B647AD">
        <w:rPr>
          <w:rFonts w:asciiTheme="minorHAnsi" w:hAnsiTheme="minorHAnsi" w:cstheme="minorHAnsi"/>
          <w:sz w:val="23"/>
          <w:szCs w:val="23"/>
        </w:rPr>
        <w:t xml:space="preserve">Confidentiality </w:t>
      </w:r>
    </w:p>
    <w:p w:rsidR="00B647AD" w:rsidRPr="00B647AD" w:rsidRDefault="00B647AD" w:rsidP="00B647A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B647AD">
        <w:rPr>
          <w:rFonts w:asciiTheme="minorHAnsi" w:hAnsiTheme="minorHAnsi" w:cstheme="minorHAnsi"/>
          <w:sz w:val="23"/>
          <w:szCs w:val="23"/>
        </w:rPr>
        <w:t>Adherence to proper standards of probity</w:t>
      </w:r>
      <w:r w:rsidR="00375F5B">
        <w:rPr>
          <w:rFonts w:asciiTheme="minorHAnsi" w:hAnsiTheme="minorHAnsi" w:cstheme="minorHAnsi"/>
          <w:sz w:val="23"/>
          <w:szCs w:val="23"/>
        </w:rPr>
        <w:t>.</w:t>
      </w:r>
      <w:r w:rsidRPr="00B647A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647AD" w:rsidRDefault="00B647AD">
      <w:pPr>
        <w:rPr>
          <w:b/>
        </w:rPr>
      </w:pPr>
    </w:p>
    <w:p w:rsidR="00B647AD" w:rsidRDefault="00ED43BB" w:rsidP="00316D01">
      <w:r w:rsidRPr="00ED43BB">
        <w:t xml:space="preserve">The partnership is guided by the </w:t>
      </w:r>
      <w:r w:rsidR="00C83DC3" w:rsidRPr="00ED43BB">
        <w:t xml:space="preserve">Department of Health’s Best Practice </w:t>
      </w:r>
      <w:proofErr w:type="gramStart"/>
      <w:r w:rsidR="00A146AC" w:rsidRPr="00ED43BB">
        <w:t>Clinical</w:t>
      </w:r>
      <w:r w:rsidRPr="00ED43BB">
        <w:t xml:space="preserve"> </w:t>
      </w:r>
      <w:r w:rsidR="00375F5B">
        <w:t xml:space="preserve"> </w:t>
      </w:r>
      <w:r w:rsidRPr="00ED43BB">
        <w:t>Practice</w:t>
      </w:r>
      <w:proofErr w:type="gramEnd"/>
      <w:r w:rsidRPr="00ED43BB">
        <w:t xml:space="preserve"> </w:t>
      </w:r>
      <w:r w:rsidR="00A146AC" w:rsidRPr="00ED43BB">
        <w:t xml:space="preserve"> Learning Framework</w:t>
      </w:r>
      <w:r w:rsidR="00A146AC" w:rsidRPr="00ED43BB">
        <w:rPr>
          <w:rStyle w:val="FootnoteReference"/>
        </w:rPr>
        <w:footnoteReference w:id="1"/>
      </w:r>
    </w:p>
    <w:p w:rsidR="006400EE" w:rsidRDefault="006400EE" w:rsidP="00316D01">
      <w:pPr>
        <w:pStyle w:val="Heading1"/>
      </w:pPr>
      <w:r>
        <w:t xml:space="preserve">PART 3 Roles and Responsibilities </w:t>
      </w:r>
    </w:p>
    <w:p w:rsidR="00366DAF" w:rsidRDefault="00366DAF">
      <w: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068"/>
        <w:gridCol w:w="5729"/>
      </w:tblGrid>
      <w:tr w:rsidR="00C53780" w:rsidTr="00C53780">
        <w:tc>
          <w:tcPr>
            <w:tcW w:w="1809" w:type="dxa"/>
            <w:shd w:val="clear" w:color="auto" w:fill="FFC000"/>
          </w:tcPr>
          <w:p w:rsidR="00C53780" w:rsidRPr="00CA2653" w:rsidRDefault="00C53780">
            <w:pPr>
              <w:rPr>
                <w:b/>
              </w:rPr>
            </w:pPr>
            <w:r w:rsidRPr="00CA2653">
              <w:rPr>
                <w:b/>
              </w:rPr>
              <w:t xml:space="preserve">Agency </w:t>
            </w:r>
          </w:p>
        </w:tc>
        <w:tc>
          <w:tcPr>
            <w:tcW w:w="2068" w:type="dxa"/>
            <w:shd w:val="clear" w:color="auto" w:fill="FFC000"/>
          </w:tcPr>
          <w:p w:rsidR="00C53780" w:rsidRPr="00CA2653" w:rsidRDefault="00C53780" w:rsidP="00CA2653">
            <w:pPr>
              <w:rPr>
                <w:b/>
              </w:rPr>
            </w:pPr>
            <w:r w:rsidRPr="00CA2653">
              <w:rPr>
                <w:b/>
              </w:rPr>
              <w:t xml:space="preserve">Role </w:t>
            </w:r>
          </w:p>
        </w:tc>
        <w:tc>
          <w:tcPr>
            <w:tcW w:w="5729" w:type="dxa"/>
            <w:shd w:val="clear" w:color="auto" w:fill="FFC000"/>
          </w:tcPr>
          <w:p w:rsidR="00C53780" w:rsidRPr="00CA2653" w:rsidRDefault="00C53780">
            <w:pPr>
              <w:rPr>
                <w:b/>
              </w:rPr>
            </w:pPr>
            <w:r w:rsidRPr="00CA2653">
              <w:rPr>
                <w:b/>
              </w:rPr>
              <w:t>Actions / KPI’s</w:t>
            </w:r>
          </w:p>
        </w:tc>
      </w:tr>
      <w:tr w:rsidR="00C53780" w:rsidTr="00C53780">
        <w:tc>
          <w:tcPr>
            <w:tcW w:w="1809" w:type="dxa"/>
            <w:shd w:val="clear" w:color="auto" w:fill="FFC000"/>
          </w:tcPr>
          <w:p w:rsidR="00C53780" w:rsidRPr="00E73582" w:rsidRDefault="00C53780" w:rsidP="00E7358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73582">
              <w:rPr>
                <w:b/>
              </w:rPr>
              <w:t xml:space="preserve">Active Health </w:t>
            </w:r>
          </w:p>
        </w:tc>
        <w:tc>
          <w:tcPr>
            <w:tcW w:w="2068" w:type="dxa"/>
          </w:tcPr>
          <w:p w:rsidR="00C53780" w:rsidRPr="005F4AB9" w:rsidRDefault="00C53780" w:rsidP="00316D01">
            <w:pPr>
              <w:rPr>
                <w:sz w:val="20"/>
                <w:szCs w:val="20"/>
              </w:rPr>
            </w:pPr>
          </w:p>
          <w:p w:rsidR="00C53780" w:rsidRPr="005F4AB9" w:rsidRDefault="00C53780" w:rsidP="00316D01">
            <w:pPr>
              <w:rPr>
                <w:sz w:val="20"/>
                <w:szCs w:val="20"/>
              </w:rPr>
            </w:pPr>
            <w:r w:rsidRPr="005F4AB9">
              <w:rPr>
                <w:sz w:val="20"/>
                <w:szCs w:val="20"/>
              </w:rPr>
              <w:t xml:space="preserve">Cultural Safety Education </w:t>
            </w:r>
          </w:p>
          <w:p w:rsidR="00C53780" w:rsidRDefault="00C53780" w:rsidP="00316D01">
            <w:pPr>
              <w:rPr>
                <w:sz w:val="20"/>
                <w:szCs w:val="20"/>
              </w:rPr>
            </w:pPr>
          </w:p>
          <w:p w:rsidR="00C53780" w:rsidRDefault="00C53780" w:rsidP="00316D01">
            <w:r>
              <w:rPr>
                <w:sz w:val="20"/>
                <w:szCs w:val="20"/>
              </w:rPr>
              <w:t xml:space="preserve">Student Manual and Clinical Supervision Manual </w:t>
            </w:r>
          </w:p>
        </w:tc>
        <w:tc>
          <w:tcPr>
            <w:tcW w:w="5729" w:type="dxa"/>
          </w:tcPr>
          <w:p w:rsidR="00C53780" w:rsidRPr="005F4AB9" w:rsidRDefault="00C53780" w:rsidP="00316D01">
            <w:pPr>
              <w:rPr>
                <w:sz w:val="20"/>
                <w:szCs w:val="20"/>
              </w:rPr>
            </w:pPr>
          </w:p>
          <w:p w:rsidR="00C53780" w:rsidRPr="005F4AB9" w:rsidRDefault="00C53780" w:rsidP="00316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5F4AB9">
              <w:rPr>
                <w:sz w:val="20"/>
                <w:szCs w:val="20"/>
              </w:rPr>
              <w:t xml:space="preserve">Provide opportunities for students to attend cultural safety education </w:t>
            </w:r>
            <w:r>
              <w:rPr>
                <w:sz w:val="20"/>
                <w:szCs w:val="20"/>
              </w:rPr>
              <w:t>at DWECH</w:t>
            </w:r>
          </w:p>
          <w:p w:rsidR="00C53780" w:rsidRDefault="00C53780" w:rsidP="00316D01">
            <w:pPr>
              <w:rPr>
                <w:sz w:val="20"/>
                <w:szCs w:val="20"/>
              </w:rPr>
            </w:pPr>
          </w:p>
          <w:p w:rsidR="00C53780" w:rsidRDefault="00C53780" w:rsidP="00316D01">
            <w:r>
              <w:rPr>
                <w:sz w:val="20"/>
                <w:szCs w:val="20"/>
              </w:rPr>
              <w:t xml:space="preserve">1.5 Commit to reviewing drafted material and content relevant to Active Health </w:t>
            </w:r>
          </w:p>
        </w:tc>
      </w:tr>
      <w:tr w:rsidR="00C53780" w:rsidTr="00C53780">
        <w:tc>
          <w:tcPr>
            <w:tcW w:w="1809" w:type="dxa"/>
            <w:shd w:val="clear" w:color="auto" w:fill="FFC000"/>
          </w:tcPr>
          <w:p w:rsidR="00C53780" w:rsidRPr="00E73582" w:rsidRDefault="00C53780" w:rsidP="00E7358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73582">
              <w:rPr>
                <w:b/>
              </w:rPr>
              <w:t>DWECH</w:t>
            </w:r>
          </w:p>
        </w:tc>
        <w:tc>
          <w:tcPr>
            <w:tcW w:w="2068" w:type="dxa"/>
          </w:tcPr>
          <w:p w:rsidR="00C53780" w:rsidRDefault="00C53780">
            <w:pPr>
              <w:rPr>
                <w:sz w:val="18"/>
                <w:szCs w:val="18"/>
              </w:rPr>
            </w:pPr>
            <w:r w:rsidRPr="00CA2653">
              <w:rPr>
                <w:sz w:val="18"/>
                <w:szCs w:val="18"/>
              </w:rPr>
              <w:t>Project Co-ordination</w:t>
            </w:r>
            <w:r>
              <w:rPr>
                <w:sz w:val="18"/>
                <w:szCs w:val="18"/>
              </w:rPr>
              <w:t xml:space="preserve"> &amp; Evaluation </w:t>
            </w: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Best Practice Supports</w:t>
            </w: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Cultural Safety Education </w:t>
            </w: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 w:rsidP="00CA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Infrastructure –  DWECH Wellington Rd campus</w:t>
            </w:r>
          </w:p>
          <w:p w:rsidR="00C53780" w:rsidRDefault="00C53780" w:rsidP="00CA2653">
            <w:pPr>
              <w:rPr>
                <w:sz w:val="18"/>
                <w:szCs w:val="18"/>
              </w:rPr>
            </w:pPr>
          </w:p>
          <w:p w:rsidR="00C53780" w:rsidRDefault="00C53780" w:rsidP="00CA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placement logistics</w:t>
            </w:r>
          </w:p>
          <w:p w:rsidR="00C53780" w:rsidRPr="005F4AB9" w:rsidRDefault="00C53780" w:rsidP="00DB26CD">
            <w:pPr>
              <w:rPr>
                <w:sz w:val="20"/>
                <w:szCs w:val="20"/>
              </w:rPr>
            </w:pPr>
            <w:r w:rsidRPr="005F4AB9">
              <w:rPr>
                <w:sz w:val="20"/>
                <w:szCs w:val="20"/>
              </w:rPr>
              <w:t xml:space="preserve">Cultural Safety Education </w:t>
            </w:r>
          </w:p>
          <w:p w:rsidR="00C53780" w:rsidRDefault="00C53780" w:rsidP="00CA2653">
            <w:pPr>
              <w:rPr>
                <w:sz w:val="18"/>
                <w:szCs w:val="18"/>
              </w:rPr>
            </w:pPr>
          </w:p>
          <w:p w:rsidR="00770B05" w:rsidRDefault="00770B05" w:rsidP="00CA2653">
            <w:pPr>
              <w:rPr>
                <w:sz w:val="18"/>
                <w:szCs w:val="18"/>
              </w:rPr>
            </w:pPr>
          </w:p>
          <w:p w:rsidR="00C53780" w:rsidRDefault="00C53780" w:rsidP="00CA2653">
            <w:pPr>
              <w:rPr>
                <w:sz w:val="18"/>
                <w:szCs w:val="18"/>
              </w:rPr>
            </w:pPr>
          </w:p>
          <w:p w:rsidR="00C53780" w:rsidRDefault="00C53780" w:rsidP="00CA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Pharmacy placement</w:t>
            </w:r>
          </w:p>
          <w:p w:rsidR="00C53780" w:rsidRPr="00CA2653" w:rsidRDefault="00C53780" w:rsidP="00CA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29" w:type="dxa"/>
          </w:tcPr>
          <w:p w:rsidR="00C53780" w:rsidRPr="00CA2653" w:rsidRDefault="00C5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 </w:t>
            </w:r>
            <w:r w:rsidRPr="00CA2653">
              <w:rPr>
                <w:sz w:val="18"/>
                <w:szCs w:val="18"/>
              </w:rPr>
              <w:t xml:space="preserve">DH </w:t>
            </w:r>
            <w:r>
              <w:rPr>
                <w:sz w:val="18"/>
                <w:szCs w:val="18"/>
              </w:rPr>
              <w:t xml:space="preserve">and BSW Clinical Network liaison and </w:t>
            </w:r>
            <w:r w:rsidRPr="00CA2653">
              <w:rPr>
                <w:sz w:val="18"/>
                <w:szCs w:val="18"/>
              </w:rPr>
              <w:t>reporting</w:t>
            </w:r>
          </w:p>
          <w:p w:rsidR="00C53780" w:rsidRPr="00CA2653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Secretarial and governance leadership </w:t>
            </w:r>
            <w:r w:rsidRPr="00CA2653">
              <w:rPr>
                <w:sz w:val="18"/>
                <w:szCs w:val="18"/>
              </w:rPr>
              <w:t xml:space="preserve">to partners and Department of Health </w:t>
            </w: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 Establish systems to measure project evaluation and sustainability goals. Write Evaluation Specification and co-ordinate the appointment of evaluator</w:t>
            </w: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Heywood and Portland community manual</w:t>
            </w: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 Student manual for all disciplines and partners</w:t>
            </w: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 Clinical supervisors manual across all disciplines and partners</w:t>
            </w: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 Liaise with Barwon Health for  clinical supervision capacity building including survey, training and mentoring</w:t>
            </w: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 Develop cultural education materials suitable for student clinical placements</w:t>
            </w: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 Provide opportunities for cultural education to students at DWECH</w:t>
            </w: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3.11 Refurbish to provide for a classroom, supervisors space, low fidelity primary health care laboratory, five studio apartments for students </w:t>
            </w: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Pr="00AF6754" w:rsidRDefault="00C53780" w:rsidP="00E7358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  <w:r w:rsidRPr="00E73582">
              <w:rPr>
                <w:sz w:val="20"/>
                <w:szCs w:val="20"/>
              </w:rPr>
              <w:t>Allocate staff time for one contact person to liaise with DWECH  placed stud</w:t>
            </w:r>
            <w:r>
              <w:rPr>
                <w:sz w:val="20"/>
                <w:szCs w:val="20"/>
              </w:rPr>
              <w:t xml:space="preserve">ents and the project’s </w:t>
            </w:r>
            <w:r w:rsidRPr="00AF6754">
              <w:rPr>
                <w:color w:val="FF0000"/>
                <w:sz w:val="20"/>
                <w:szCs w:val="20"/>
              </w:rPr>
              <w:t>Clinical Placement Partnership Co-ordinator</w:t>
            </w: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3.13 Develop the partnership with the Victorian Pharmacy Guild and retail pharmacy outlets in Portland and Heywood</w:t>
            </w:r>
          </w:p>
          <w:p w:rsidR="00C53780" w:rsidRPr="00CA2653" w:rsidRDefault="00C53780" w:rsidP="00375F5B">
            <w:pPr>
              <w:rPr>
                <w:sz w:val="18"/>
                <w:szCs w:val="18"/>
              </w:rPr>
            </w:pPr>
          </w:p>
        </w:tc>
      </w:tr>
      <w:tr w:rsidR="00C53780" w:rsidTr="00C53780">
        <w:tc>
          <w:tcPr>
            <w:tcW w:w="1809" w:type="dxa"/>
            <w:shd w:val="clear" w:color="auto" w:fill="FFC000"/>
          </w:tcPr>
          <w:p w:rsidR="00C53780" w:rsidRDefault="00C5378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4.0 </w:t>
            </w:r>
            <w:r w:rsidRPr="00CA2653">
              <w:rPr>
                <w:b/>
              </w:rPr>
              <w:t>Heywood Rural Health</w:t>
            </w:r>
          </w:p>
          <w:p w:rsidR="00C53780" w:rsidRDefault="00C53780">
            <w:pPr>
              <w:rPr>
                <w:b/>
              </w:rPr>
            </w:pPr>
          </w:p>
          <w:p w:rsidR="00C53780" w:rsidRDefault="00C53780">
            <w:pPr>
              <w:rPr>
                <w:b/>
              </w:rPr>
            </w:pPr>
          </w:p>
          <w:p w:rsidR="00C53780" w:rsidRDefault="00C53780">
            <w:pPr>
              <w:rPr>
                <w:b/>
              </w:rPr>
            </w:pPr>
          </w:p>
          <w:p w:rsidR="00C53780" w:rsidRDefault="00C53780">
            <w:pPr>
              <w:rPr>
                <w:b/>
              </w:rPr>
            </w:pPr>
          </w:p>
          <w:p w:rsidR="00C53780" w:rsidRDefault="00C53780">
            <w:pPr>
              <w:rPr>
                <w:b/>
              </w:rPr>
            </w:pPr>
          </w:p>
          <w:p w:rsidR="00C53780" w:rsidRDefault="00C53780">
            <w:pPr>
              <w:rPr>
                <w:b/>
              </w:rPr>
            </w:pPr>
          </w:p>
          <w:p w:rsidR="00C53780" w:rsidRDefault="00C53780">
            <w:pPr>
              <w:rPr>
                <w:b/>
              </w:rPr>
            </w:pPr>
          </w:p>
          <w:p w:rsidR="00C53780" w:rsidRDefault="00C53780">
            <w:pPr>
              <w:rPr>
                <w:b/>
              </w:rPr>
            </w:pPr>
          </w:p>
          <w:p w:rsidR="00C53780" w:rsidRDefault="00C53780">
            <w:pPr>
              <w:rPr>
                <w:b/>
              </w:rPr>
            </w:pPr>
          </w:p>
          <w:p w:rsidR="00C53780" w:rsidRPr="00CA2653" w:rsidRDefault="00C53780">
            <w:pPr>
              <w:rPr>
                <w:b/>
              </w:rPr>
            </w:pPr>
          </w:p>
        </w:tc>
        <w:tc>
          <w:tcPr>
            <w:tcW w:w="2068" w:type="dxa"/>
          </w:tcPr>
          <w:p w:rsidR="00C53780" w:rsidRPr="005F4AB9" w:rsidRDefault="00C53780" w:rsidP="005F4AB9">
            <w:pPr>
              <w:rPr>
                <w:sz w:val="20"/>
                <w:szCs w:val="20"/>
              </w:rPr>
            </w:pPr>
            <w:r w:rsidRPr="005F4AB9">
              <w:rPr>
                <w:sz w:val="20"/>
                <w:szCs w:val="20"/>
              </w:rPr>
              <w:t>Student placement logistics</w:t>
            </w:r>
          </w:p>
          <w:p w:rsidR="00C53780" w:rsidRPr="005F4AB9" w:rsidRDefault="00C53780" w:rsidP="005F4AB9">
            <w:pPr>
              <w:rPr>
                <w:sz w:val="20"/>
                <w:szCs w:val="20"/>
              </w:rPr>
            </w:pPr>
          </w:p>
          <w:p w:rsidR="00C53780" w:rsidRPr="005F4AB9" w:rsidRDefault="00C53780" w:rsidP="005F4AB9">
            <w:pPr>
              <w:rPr>
                <w:sz w:val="20"/>
                <w:szCs w:val="20"/>
              </w:rPr>
            </w:pPr>
            <w:r w:rsidRPr="005F4AB9">
              <w:rPr>
                <w:sz w:val="20"/>
                <w:szCs w:val="20"/>
              </w:rPr>
              <w:t xml:space="preserve">Cultural Safety Education </w:t>
            </w:r>
          </w:p>
          <w:p w:rsidR="00C53780" w:rsidRPr="005F4AB9" w:rsidRDefault="00C53780">
            <w:pPr>
              <w:rPr>
                <w:sz w:val="20"/>
                <w:szCs w:val="20"/>
              </w:rPr>
            </w:pPr>
          </w:p>
          <w:p w:rsidR="00770B05" w:rsidRDefault="00770B05">
            <w:pPr>
              <w:rPr>
                <w:sz w:val="20"/>
                <w:szCs w:val="20"/>
              </w:rPr>
            </w:pPr>
          </w:p>
          <w:p w:rsidR="00C53780" w:rsidRDefault="00C53780">
            <w:pPr>
              <w:rPr>
                <w:sz w:val="20"/>
                <w:szCs w:val="20"/>
              </w:rPr>
            </w:pPr>
            <w:r w:rsidRPr="005F4AB9">
              <w:rPr>
                <w:sz w:val="20"/>
                <w:szCs w:val="20"/>
              </w:rPr>
              <w:t>Clinical supervision</w:t>
            </w:r>
          </w:p>
          <w:p w:rsidR="00C53780" w:rsidRDefault="00C53780">
            <w:pPr>
              <w:rPr>
                <w:sz w:val="20"/>
                <w:szCs w:val="20"/>
              </w:rPr>
            </w:pPr>
          </w:p>
          <w:p w:rsidR="00C53780" w:rsidRDefault="00C53780">
            <w:pPr>
              <w:rPr>
                <w:sz w:val="20"/>
                <w:szCs w:val="20"/>
              </w:rPr>
            </w:pPr>
          </w:p>
          <w:p w:rsidR="00C53780" w:rsidRDefault="00C53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Evaluation </w:t>
            </w:r>
          </w:p>
          <w:p w:rsidR="00C53780" w:rsidRDefault="00C53780">
            <w:pPr>
              <w:rPr>
                <w:sz w:val="20"/>
                <w:szCs w:val="20"/>
              </w:rPr>
            </w:pPr>
          </w:p>
          <w:p w:rsidR="00C53780" w:rsidRDefault="00C53780">
            <w:pPr>
              <w:rPr>
                <w:sz w:val="20"/>
                <w:szCs w:val="20"/>
              </w:rPr>
            </w:pPr>
          </w:p>
          <w:p w:rsidR="00C53780" w:rsidRPr="005F4AB9" w:rsidRDefault="00770B05" w:rsidP="00770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Community, </w:t>
            </w:r>
            <w:r w:rsidR="00C53780">
              <w:rPr>
                <w:sz w:val="20"/>
                <w:szCs w:val="20"/>
              </w:rPr>
              <w:t>Student l and Clinical Supervision</w:t>
            </w:r>
            <w:r>
              <w:rPr>
                <w:sz w:val="20"/>
                <w:szCs w:val="20"/>
              </w:rPr>
              <w:t xml:space="preserve"> Resources</w:t>
            </w:r>
            <w:r w:rsidR="00C537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729" w:type="dxa"/>
          </w:tcPr>
          <w:p w:rsidR="00C53780" w:rsidRPr="005F4AB9" w:rsidRDefault="00C53780" w:rsidP="005F4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Pr="00E73582">
              <w:rPr>
                <w:sz w:val="20"/>
                <w:szCs w:val="20"/>
              </w:rPr>
              <w:t>Allocate staff time for one contact per</w:t>
            </w:r>
            <w:r>
              <w:rPr>
                <w:sz w:val="20"/>
                <w:szCs w:val="20"/>
              </w:rPr>
              <w:t xml:space="preserve">son to liaise with HRH </w:t>
            </w:r>
            <w:r w:rsidRPr="00E73582">
              <w:rPr>
                <w:sz w:val="20"/>
                <w:szCs w:val="20"/>
              </w:rPr>
              <w:t xml:space="preserve"> placed stu</w:t>
            </w:r>
            <w:r>
              <w:rPr>
                <w:sz w:val="20"/>
                <w:szCs w:val="20"/>
              </w:rPr>
              <w:t>dents and the project’s Clinical Placement Partnership</w:t>
            </w:r>
            <w:r w:rsidRPr="00E73582">
              <w:rPr>
                <w:sz w:val="20"/>
                <w:szCs w:val="20"/>
              </w:rPr>
              <w:t xml:space="preserve"> Co-ordinator </w:t>
            </w:r>
          </w:p>
          <w:p w:rsidR="00C53780" w:rsidRPr="005F4AB9" w:rsidRDefault="00C53780">
            <w:pPr>
              <w:rPr>
                <w:sz w:val="20"/>
                <w:szCs w:val="20"/>
              </w:rPr>
            </w:pPr>
          </w:p>
          <w:p w:rsidR="00C53780" w:rsidRPr="005F4AB9" w:rsidRDefault="00C53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Pr="005F4AB9">
              <w:rPr>
                <w:sz w:val="20"/>
                <w:szCs w:val="20"/>
              </w:rPr>
              <w:t xml:space="preserve">Provide opportunities for students to attend cultural safety education </w:t>
            </w:r>
            <w:r>
              <w:rPr>
                <w:sz w:val="20"/>
                <w:szCs w:val="20"/>
              </w:rPr>
              <w:t>at DWECH</w:t>
            </w:r>
          </w:p>
          <w:p w:rsidR="00C53780" w:rsidRPr="005F4AB9" w:rsidRDefault="00C53780">
            <w:pPr>
              <w:rPr>
                <w:sz w:val="20"/>
                <w:szCs w:val="20"/>
              </w:rPr>
            </w:pPr>
          </w:p>
          <w:p w:rsidR="00C53780" w:rsidRDefault="00C53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Pr="005F4AB9">
              <w:rPr>
                <w:sz w:val="20"/>
                <w:szCs w:val="20"/>
              </w:rPr>
              <w:t>Work with DWECH to identify staff for clinical supervision training and mentoring</w:t>
            </w:r>
          </w:p>
          <w:p w:rsidR="00C53780" w:rsidRDefault="00C53780">
            <w:pPr>
              <w:rPr>
                <w:sz w:val="20"/>
                <w:szCs w:val="20"/>
              </w:rPr>
            </w:pPr>
          </w:p>
          <w:p w:rsidR="007F689D" w:rsidRPr="007F689D" w:rsidRDefault="00C53780" w:rsidP="007F689D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7F689D">
              <w:rPr>
                <w:sz w:val="20"/>
                <w:szCs w:val="20"/>
              </w:rPr>
              <w:t xml:space="preserve">4.4 </w:t>
            </w:r>
            <w:r w:rsidR="007F689D" w:rsidRPr="007F689D">
              <w:rPr>
                <w:rFonts w:cstheme="minorHAnsi"/>
                <w:sz w:val="20"/>
              </w:rPr>
              <w:t>DWECH Clinical Partnership Project Evaluation</w:t>
            </w:r>
          </w:p>
          <w:p w:rsidR="00C53780" w:rsidRDefault="007F689D" w:rsidP="007F689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Collaborate with DWECH to establish systems for the collection of information to satisfy project evaluation and recommendations including information requests from the Department or Clinical Placement Network</w:t>
            </w:r>
          </w:p>
          <w:p w:rsidR="007F689D" w:rsidRDefault="007F689D" w:rsidP="007F689D">
            <w:pPr>
              <w:rPr>
                <w:sz w:val="20"/>
                <w:szCs w:val="20"/>
              </w:rPr>
            </w:pPr>
          </w:p>
          <w:p w:rsidR="00C53780" w:rsidRDefault="00C53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 Commit to reviewing drafted material and content for the community, student and clinical supervision resources.</w:t>
            </w:r>
          </w:p>
          <w:p w:rsidR="00C53780" w:rsidRPr="005F4AB9" w:rsidRDefault="00C53780">
            <w:pPr>
              <w:rPr>
                <w:sz w:val="20"/>
                <w:szCs w:val="20"/>
              </w:rPr>
            </w:pPr>
          </w:p>
        </w:tc>
      </w:tr>
      <w:tr w:rsidR="00C53780" w:rsidTr="00C53780">
        <w:tc>
          <w:tcPr>
            <w:tcW w:w="1809" w:type="dxa"/>
            <w:shd w:val="clear" w:color="auto" w:fill="FFC000"/>
          </w:tcPr>
          <w:p w:rsidR="00C53780" w:rsidRPr="00E73582" w:rsidRDefault="00C53780" w:rsidP="00E7358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E73582">
              <w:rPr>
                <w:b/>
              </w:rPr>
              <w:t xml:space="preserve">Portland District Health </w:t>
            </w:r>
          </w:p>
        </w:tc>
        <w:tc>
          <w:tcPr>
            <w:tcW w:w="2068" w:type="dxa"/>
          </w:tcPr>
          <w:p w:rsidR="00C53780" w:rsidRDefault="00C53780">
            <w:pPr>
              <w:rPr>
                <w:sz w:val="18"/>
                <w:szCs w:val="18"/>
              </w:rPr>
            </w:pPr>
            <w:proofErr w:type="spellStart"/>
            <w:r w:rsidRPr="005F4AB9">
              <w:rPr>
                <w:sz w:val="18"/>
                <w:szCs w:val="18"/>
              </w:rPr>
              <w:t>VicPlace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53780" w:rsidRDefault="00C5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Co-ordination </w:t>
            </w: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770B05" w:rsidRDefault="00770B05">
            <w:pPr>
              <w:rPr>
                <w:sz w:val="18"/>
                <w:szCs w:val="18"/>
              </w:rPr>
            </w:pPr>
          </w:p>
          <w:p w:rsidR="00770B05" w:rsidRDefault="00770B05">
            <w:pPr>
              <w:rPr>
                <w:sz w:val="18"/>
                <w:szCs w:val="18"/>
              </w:rPr>
            </w:pPr>
          </w:p>
          <w:p w:rsidR="00770B05" w:rsidRDefault="00770B05">
            <w:pPr>
              <w:rPr>
                <w:sz w:val="18"/>
                <w:szCs w:val="18"/>
              </w:rPr>
            </w:pPr>
          </w:p>
          <w:p w:rsidR="00770B05" w:rsidRDefault="00770B05">
            <w:pPr>
              <w:rPr>
                <w:sz w:val="18"/>
                <w:szCs w:val="18"/>
              </w:rPr>
            </w:pPr>
          </w:p>
          <w:p w:rsidR="00770B05" w:rsidRDefault="00770B05">
            <w:pPr>
              <w:rPr>
                <w:sz w:val="18"/>
                <w:szCs w:val="18"/>
              </w:rPr>
            </w:pPr>
          </w:p>
          <w:p w:rsidR="00770B05" w:rsidRDefault="00770B05">
            <w:pPr>
              <w:rPr>
                <w:sz w:val="18"/>
                <w:szCs w:val="18"/>
              </w:rPr>
            </w:pPr>
          </w:p>
          <w:p w:rsidR="00770B05" w:rsidRDefault="00770B05">
            <w:pPr>
              <w:rPr>
                <w:sz w:val="18"/>
                <w:szCs w:val="18"/>
              </w:rPr>
            </w:pPr>
          </w:p>
          <w:p w:rsidR="00770B05" w:rsidRDefault="00770B05">
            <w:pPr>
              <w:rPr>
                <w:sz w:val="18"/>
                <w:szCs w:val="18"/>
              </w:rPr>
            </w:pPr>
          </w:p>
          <w:p w:rsidR="00770B05" w:rsidRDefault="00770B05">
            <w:pPr>
              <w:rPr>
                <w:sz w:val="18"/>
                <w:szCs w:val="18"/>
              </w:rPr>
            </w:pPr>
          </w:p>
          <w:p w:rsidR="00770B05" w:rsidRDefault="00770B05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placement readiness  and safety </w:t>
            </w:r>
          </w:p>
          <w:p w:rsidR="00C53780" w:rsidRDefault="00C53780">
            <w:pPr>
              <w:rPr>
                <w:sz w:val="18"/>
                <w:szCs w:val="18"/>
              </w:rPr>
            </w:pPr>
          </w:p>
          <w:p w:rsidR="00C53780" w:rsidRDefault="00C53780" w:rsidP="00DB26CD">
            <w:pPr>
              <w:rPr>
                <w:sz w:val="18"/>
                <w:szCs w:val="18"/>
              </w:rPr>
            </w:pPr>
          </w:p>
          <w:p w:rsidR="00C53780" w:rsidRDefault="00C53780" w:rsidP="00DB26CD">
            <w:pPr>
              <w:rPr>
                <w:sz w:val="18"/>
                <w:szCs w:val="18"/>
              </w:rPr>
            </w:pPr>
          </w:p>
          <w:p w:rsidR="00C53780" w:rsidRDefault="00C53780" w:rsidP="00DB26CD">
            <w:pPr>
              <w:rPr>
                <w:sz w:val="18"/>
                <w:szCs w:val="18"/>
              </w:rPr>
            </w:pPr>
          </w:p>
          <w:p w:rsidR="00C53780" w:rsidRDefault="00C53780" w:rsidP="00DB26CD">
            <w:pPr>
              <w:rPr>
                <w:sz w:val="18"/>
                <w:szCs w:val="18"/>
              </w:rPr>
            </w:pPr>
          </w:p>
          <w:p w:rsidR="00C53780" w:rsidRDefault="00C53780" w:rsidP="00DB26CD">
            <w:pPr>
              <w:rPr>
                <w:sz w:val="18"/>
                <w:szCs w:val="18"/>
              </w:rPr>
            </w:pPr>
          </w:p>
          <w:p w:rsidR="00C53780" w:rsidRDefault="00C53780" w:rsidP="00DB26CD">
            <w:pPr>
              <w:rPr>
                <w:sz w:val="18"/>
                <w:szCs w:val="18"/>
              </w:rPr>
            </w:pPr>
          </w:p>
          <w:p w:rsidR="00C53780" w:rsidRDefault="00C53780" w:rsidP="00DB26CD">
            <w:pPr>
              <w:rPr>
                <w:sz w:val="18"/>
                <w:szCs w:val="18"/>
              </w:rPr>
            </w:pPr>
          </w:p>
          <w:p w:rsidR="00C53780" w:rsidRDefault="00C53780" w:rsidP="00D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Supervision</w:t>
            </w: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  <w:r w:rsidRPr="00770B05">
              <w:rPr>
                <w:sz w:val="18"/>
                <w:szCs w:val="18"/>
              </w:rPr>
              <w:t>Student assessment</w:t>
            </w: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C53780" w:rsidRDefault="00C53780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770B05" w:rsidRDefault="00770B05" w:rsidP="00DB26CD">
            <w:pPr>
              <w:rPr>
                <w:sz w:val="18"/>
                <w:szCs w:val="18"/>
              </w:rPr>
            </w:pPr>
          </w:p>
          <w:p w:rsidR="00C53780" w:rsidRDefault="00770B05" w:rsidP="00DB26C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Community, </w:t>
            </w:r>
            <w:r w:rsidR="00C53780">
              <w:rPr>
                <w:sz w:val="20"/>
                <w:szCs w:val="20"/>
              </w:rPr>
              <w:t>Student and Clinical Supervision</w:t>
            </w:r>
            <w:r>
              <w:rPr>
                <w:sz w:val="20"/>
                <w:szCs w:val="20"/>
              </w:rPr>
              <w:t xml:space="preserve"> Resources</w:t>
            </w:r>
            <w:r w:rsidR="00C53780">
              <w:rPr>
                <w:sz w:val="18"/>
                <w:szCs w:val="18"/>
              </w:rPr>
              <w:t xml:space="preserve">  </w:t>
            </w:r>
          </w:p>
          <w:p w:rsidR="00C53780" w:rsidRDefault="00C53780" w:rsidP="00DB26CD">
            <w:pPr>
              <w:rPr>
                <w:sz w:val="18"/>
                <w:szCs w:val="18"/>
              </w:rPr>
            </w:pPr>
          </w:p>
          <w:p w:rsidR="00C53780" w:rsidRPr="00DB26CD" w:rsidRDefault="00C53780" w:rsidP="00DB26CD">
            <w:pPr>
              <w:rPr>
                <w:sz w:val="18"/>
                <w:szCs w:val="18"/>
              </w:rPr>
            </w:pPr>
          </w:p>
        </w:tc>
        <w:tc>
          <w:tcPr>
            <w:tcW w:w="5729" w:type="dxa"/>
          </w:tcPr>
          <w:p w:rsidR="00770B05" w:rsidRDefault="00770B05" w:rsidP="00770B0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The  CPPC, as a part of the DWECH Clinical Placement Partnership will:</w:t>
            </w:r>
          </w:p>
          <w:p w:rsidR="00770B05" w:rsidRDefault="00770B05" w:rsidP="00770B05">
            <w:pPr>
              <w:rPr>
                <w:rFonts w:cstheme="minorHAnsi"/>
                <w:sz w:val="20"/>
              </w:rPr>
            </w:pPr>
          </w:p>
          <w:p w:rsidR="00770B05" w:rsidRDefault="00770B05" w:rsidP="00770B0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Manage the placement of undergraduate nursing, allied health  and medical students</w:t>
            </w:r>
            <w:r>
              <w:rPr>
                <w:rStyle w:val="FootnoteReference"/>
                <w:rFonts w:cstheme="minorHAnsi"/>
              </w:rPr>
              <w:footnoteReference w:id="2"/>
            </w:r>
            <w:r>
              <w:rPr>
                <w:rFonts w:cstheme="minorHAnsi"/>
                <w:sz w:val="20"/>
              </w:rPr>
              <w:t xml:space="preserve"> across partners and settings</w:t>
            </w:r>
          </w:p>
          <w:p w:rsidR="00770B05" w:rsidRDefault="00770B05" w:rsidP="00770B05">
            <w:pPr>
              <w:ind w:left="3660"/>
              <w:rPr>
                <w:rFonts w:cstheme="minorHAnsi"/>
                <w:sz w:val="20"/>
              </w:rPr>
            </w:pPr>
          </w:p>
          <w:p w:rsidR="00770B05" w:rsidRDefault="00770B05" w:rsidP="00770B05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Liaise with partners to determine their ability to offer clinical placement places including: student discipline; placement type; placement dates and duration.</w:t>
            </w:r>
          </w:p>
          <w:p w:rsidR="00770B05" w:rsidRDefault="00770B05" w:rsidP="00770B05">
            <w:pPr>
              <w:ind w:left="4380"/>
              <w:rPr>
                <w:rFonts w:cstheme="minorHAnsi"/>
                <w:sz w:val="20"/>
              </w:rPr>
            </w:pPr>
          </w:p>
          <w:p w:rsidR="00770B05" w:rsidRDefault="00770B05" w:rsidP="00770B05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Manage  </w:t>
            </w:r>
            <w:proofErr w:type="spellStart"/>
            <w:r>
              <w:rPr>
                <w:rFonts w:cstheme="minorHAnsi"/>
                <w:sz w:val="20"/>
              </w:rPr>
              <w:t>VicPlace</w:t>
            </w:r>
            <w:proofErr w:type="spellEnd"/>
            <w:r>
              <w:rPr>
                <w:rFonts w:cstheme="minorHAnsi"/>
                <w:sz w:val="20"/>
              </w:rPr>
              <w:t xml:space="preserve"> on behalf of education providers and clinical placement settings </w:t>
            </w:r>
          </w:p>
          <w:p w:rsidR="00770B05" w:rsidRDefault="00770B05" w:rsidP="00770B05">
            <w:pPr>
              <w:ind w:left="4380"/>
              <w:rPr>
                <w:rFonts w:cstheme="minorHAnsi"/>
                <w:sz w:val="20"/>
              </w:rPr>
            </w:pPr>
          </w:p>
          <w:p w:rsidR="00770B05" w:rsidRDefault="00770B05" w:rsidP="00770B05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Keep partners up to date with </w:t>
            </w:r>
            <w:proofErr w:type="spellStart"/>
            <w:r>
              <w:rPr>
                <w:rFonts w:cstheme="minorHAnsi"/>
                <w:sz w:val="20"/>
              </w:rPr>
              <w:t>VicPlace</w:t>
            </w:r>
            <w:proofErr w:type="spellEnd"/>
            <w:r>
              <w:rPr>
                <w:rFonts w:cstheme="minorHAnsi"/>
                <w:sz w:val="20"/>
              </w:rPr>
              <w:t xml:space="preserve"> responses relevant to their clinical placement settings</w:t>
            </w:r>
          </w:p>
          <w:p w:rsidR="00770B05" w:rsidRDefault="00770B05" w:rsidP="00770B05">
            <w:pPr>
              <w:ind w:left="4380"/>
              <w:rPr>
                <w:rFonts w:cstheme="minorHAnsi"/>
                <w:sz w:val="20"/>
              </w:rPr>
            </w:pPr>
          </w:p>
          <w:p w:rsidR="00770B05" w:rsidRDefault="00770B05" w:rsidP="00770B05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Liaise with all students and settings to manage placement requirements including:</w:t>
            </w:r>
          </w:p>
          <w:p w:rsidR="00770B05" w:rsidRDefault="00770B05" w:rsidP="00770B05">
            <w:pPr>
              <w:numPr>
                <w:ilvl w:val="2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Safety checks</w:t>
            </w:r>
            <w:r>
              <w:rPr>
                <w:rStyle w:val="FootnoteReference"/>
                <w:rFonts w:cstheme="minorHAnsi"/>
              </w:rPr>
              <w:footnoteReference w:id="3"/>
            </w:r>
          </w:p>
          <w:p w:rsidR="00770B05" w:rsidRDefault="00770B05" w:rsidP="00770B05">
            <w:pPr>
              <w:numPr>
                <w:ilvl w:val="2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Ensuring contractual obligations between the education provider and settings are met at the commencement and completion of the student placements. </w:t>
            </w:r>
          </w:p>
          <w:p w:rsidR="00D04431" w:rsidRPr="00D04431" w:rsidRDefault="00D04431" w:rsidP="00770B05">
            <w:pPr>
              <w:numPr>
                <w:ilvl w:val="2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04431">
              <w:rPr>
                <w:rFonts w:ascii="Calibri" w:hAnsi="Calibri" w:cs="Calibri"/>
                <w:sz w:val="20"/>
                <w:szCs w:val="20"/>
              </w:rPr>
              <w:t>Direct students to accommodation option and inform accommodation providers of student placement cancellations where possible</w:t>
            </w:r>
          </w:p>
          <w:p w:rsidR="00770B05" w:rsidRDefault="00770B05" w:rsidP="00770B05">
            <w:pPr>
              <w:numPr>
                <w:ilvl w:val="2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 placement schedule within and across settings</w:t>
            </w:r>
          </w:p>
          <w:p w:rsidR="00770B05" w:rsidRDefault="00770B05" w:rsidP="00770B05">
            <w:pPr>
              <w:numPr>
                <w:ilvl w:val="2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 access to community orientation resources</w:t>
            </w:r>
          </w:p>
          <w:p w:rsidR="00770B05" w:rsidRDefault="00770B05" w:rsidP="00770B05">
            <w:pPr>
              <w:numPr>
                <w:ilvl w:val="2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 access to  student manuals</w:t>
            </w:r>
          </w:p>
          <w:p w:rsidR="00770B05" w:rsidRDefault="00770B05" w:rsidP="00770B05">
            <w:pPr>
              <w:numPr>
                <w:ilvl w:val="2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Identify the Student Liaison Contact Person in each placement setting</w:t>
            </w:r>
          </w:p>
          <w:p w:rsidR="00770B05" w:rsidRDefault="00770B05" w:rsidP="00770B05">
            <w:pPr>
              <w:numPr>
                <w:ilvl w:val="2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Confirm that clinical supervision arrangements meet education provider requirements</w:t>
            </w:r>
          </w:p>
          <w:p w:rsidR="00770B05" w:rsidRDefault="00770B05" w:rsidP="00770B05">
            <w:pPr>
              <w:numPr>
                <w:ilvl w:val="2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Confirm assessment expectations arrangements and timelines with Clinical Supervisors for each placement</w:t>
            </w:r>
          </w:p>
          <w:p w:rsidR="00770B05" w:rsidRDefault="00770B05" w:rsidP="00770B05">
            <w:pPr>
              <w:numPr>
                <w:ilvl w:val="2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Document and communicate information relating to items 4 to 9 with all parties</w:t>
            </w:r>
          </w:p>
          <w:p w:rsidR="00770B05" w:rsidRDefault="00770B05" w:rsidP="00770B05">
            <w:pPr>
              <w:numPr>
                <w:ilvl w:val="2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Complete student and placement statistical reporting to the Department </w:t>
            </w:r>
          </w:p>
          <w:p w:rsidR="00770B05" w:rsidRPr="00017EB7" w:rsidRDefault="006125D2" w:rsidP="00770B05">
            <w:pPr>
              <w:numPr>
                <w:ilvl w:val="2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017EB7">
              <w:rPr>
                <w:rFonts w:cstheme="minorHAnsi"/>
                <w:sz w:val="20"/>
                <w:szCs w:val="20"/>
              </w:rPr>
              <w:t>PDH will provide a form letter to the relevant partners</w:t>
            </w:r>
            <w:r w:rsidR="00017EB7" w:rsidRPr="00017EB7">
              <w:rPr>
                <w:rFonts w:cstheme="minorHAnsi"/>
                <w:sz w:val="20"/>
                <w:szCs w:val="20"/>
              </w:rPr>
              <w:t xml:space="preserve"> </w:t>
            </w:r>
            <w:r w:rsidRPr="00017EB7">
              <w:rPr>
                <w:rFonts w:cstheme="minorHAnsi"/>
                <w:sz w:val="20"/>
                <w:szCs w:val="20"/>
              </w:rPr>
              <w:t>(DWECH</w:t>
            </w:r>
            <w:proofErr w:type="gramStart"/>
            <w:r w:rsidRPr="00017EB7">
              <w:rPr>
                <w:rFonts w:cstheme="minorHAnsi"/>
                <w:sz w:val="20"/>
                <w:szCs w:val="20"/>
              </w:rPr>
              <w:t>,HRH</w:t>
            </w:r>
            <w:proofErr w:type="gramEnd"/>
            <w:r w:rsidRPr="00017EB7">
              <w:rPr>
                <w:rFonts w:cstheme="minorHAnsi"/>
                <w:sz w:val="20"/>
                <w:szCs w:val="20"/>
              </w:rPr>
              <w:t xml:space="preserve">, Winda </w:t>
            </w:r>
            <w:proofErr w:type="spellStart"/>
            <w:r w:rsidRPr="00017EB7">
              <w:rPr>
                <w:rFonts w:cstheme="minorHAnsi"/>
                <w:sz w:val="20"/>
                <w:szCs w:val="20"/>
              </w:rPr>
              <w:t>mara</w:t>
            </w:r>
            <w:proofErr w:type="spellEnd"/>
            <w:r w:rsidRPr="00017EB7">
              <w:rPr>
                <w:rFonts w:cstheme="minorHAnsi"/>
                <w:sz w:val="20"/>
                <w:szCs w:val="20"/>
              </w:rPr>
              <w:t xml:space="preserve">, Retail Pharmacy Outlets) </w:t>
            </w:r>
            <w:r w:rsidR="00017EB7" w:rsidRPr="00017EB7">
              <w:rPr>
                <w:rFonts w:cstheme="minorHAnsi"/>
                <w:sz w:val="20"/>
                <w:szCs w:val="20"/>
              </w:rPr>
              <w:t>with clinical placement detail required for the Edu</w:t>
            </w:r>
            <w:r w:rsidR="00017EB7">
              <w:rPr>
                <w:rFonts w:cstheme="minorHAnsi"/>
                <w:sz w:val="20"/>
                <w:szCs w:val="20"/>
              </w:rPr>
              <w:t>cation Provider to pay for student placements.</w:t>
            </w:r>
            <w:r w:rsidRPr="00017EB7">
              <w:rPr>
                <w:rFonts w:cstheme="minorHAnsi"/>
                <w:sz w:val="20"/>
                <w:szCs w:val="20"/>
              </w:rPr>
              <w:t xml:space="preserve"> This </w:t>
            </w:r>
            <w:r w:rsidR="00017EB7" w:rsidRPr="00017EB7">
              <w:rPr>
                <w:rFonts w:cstheme="minorHAnsi"/>
                <w:sz w:val="20"/>
                <w:szCs w:val="20"/>
              </w:rPr>
              <w:t>letter</w:t>
            </w:r>
            <w:r w:rsidRPr="00017EB7">
              <w:rPr>
                <w:rFonts w:cstheme="minorHAnsi"/>
                <w:sz w:val="20"/>
                <w:szCs w:val="20"/>
              </w:rPr>
              <w:t xml:space="preserve"> then be attached to an invoice and</w:t>
            </w:r>
            <w:r w:rsidR="00017EB7" w:rsidRPr="00017EB7">
              <w:rPr>
                <w:rFonts w:cstheme="minorHAnsi"/>
                <w:sz w:val="20"/>
                <w:szCs w:val="20"/>
              </w:rPr>
              <w:t xml:space="preserve"> sent to the relevant Education Provider</w:t>
            </w:r>
            <w:r w:rsidRPr="00017EB7">
              <w:rPr>
                <w:rFonts w:cstheme="minorHAnsi"/>
                <w:sz w:val="20"/>
                <w:szCs w:val="20"/>
              </w:rPr>
              <w:t xml:space="preserve"> who would understand the placement location and the conditions under which the Portland Partnership works</w:t>
            </w:r>
            <w:r w:rsidR="00770B05" w:rsidRPr="00017EB7">
              <w:rPr>
                <w:rFonts w:cstheme="minorHAnsi"/>
                <w:sz w:val="20"/>
              </w:rPr>
              <w:t>.</w:t>
            </w:r>
          </w:p>
          <w:p w:rsidR="00017EB7" w:rsidRDefault="00017EB7" w:rsidP="00017EB7">
            <w:pPr>
              <w:overflowPunct w:val="0"/>
              <w:autoSpaceDE w:val="0"/>
              <w:autoSpaceDN w:val="0"/>
              <w:adjustRightInd w:val="0"/>
              <w:ind w:left="1800"/>
              <w:rPr>
                <w:rFonts w:cstheme="minorHAnsi"/>
                <w:color w:val="002060"/>
                <w:sz w:val="20"/>
              </w:rPr>
            </w:pPr>
            <w:r w:rsidRPr="00017EB7">
              <w:rPr>
                <w:rFonts w:cstheme="minorHAnsi"/>
                <w:sz w:val="20"/>
                <w:szCs w:val="20"/>
              </w:rPr>
              <w:t>This system will be reviewed as needed</w:t>
            </w:r>
            <w:r w:rsidRPr="00017EB7">
              <w:rPr>
                <w:rFonts w:cstheme="minorHAnsi"/>
                <w:color w:val="002060"/>
                <w:sz w:val="20"/>
              </w:rPr>
              <w:t>.</w:t>
            </w:r>
          </w:p>
          <w:p w:rsidR="00770B05" w:rsidRPr="00017EB7" w:rsidRDefault="00770B05" w:rsidP="00770B05">
            <w:pPr>
              <w:pStyle w:val="ecxmsonormal"/>
              <w:numPr>
                <w:ilvl w:val="2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017EB7">
              <w:rPr>
                <w:rFonts w:ascii="Calibri" w:hAnsi="Calibri" w:cs="Calibri"/>
                <w:sz w:val="20"/>
                <w:szCs w:val="20"/>
              </w:rPr>
              <w:t xml:space="preserve">PDH will invoice DWECH monthly for CPPC </w:t>
            </w:r>
          </w:p>
          <w:p w:rsidR="00770B05" w:rsidRPr="00017EB7" w:rsidRDefault="006125D2" w:rsidP="00770B05">
            <w:pPr>
              <w:pStyle w:val="ecxmsonormal"/>
              <w:ind w:left="1800"/>
              <w:rPr>
                <w:rFonts w:ascii="Calibri" w:hAnsi="Calibri" w:cs="Calibri"/>
                <w:sz w:val="20"/>
                <w:szCs w:val="20"/>
              </w:rPr>
            </w:pPr>
            <w:r w:rsidRPr="00017EB7">
              <w:rPr>
                <w:rFonts w:ascii="Calibri" w:hAnsi="Calibri" w:cs="Calibri"/>
                <w:sz w:val="20"/>
                <w:szCs w:val="20"/>
              </w:rPr>
              <w:t>costs @ $363.84</w:t>
            </w:r>
            <w:r w:rsidR="009813E0" w:rsidRPr="00017E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70B05" w:rsidRPr="00017EB7">
              <w:rPr>
                <w:rFonts w:ascii="Calibri" w:hAnsi="Calibri" w:cs="Calibri"/>
                <w:sz w:val="20"/>
                <w:szCs w:val="20"/>
              </w:rPr>
              <w:t>p.w</w:t>
            </w:r>
            <w:proofErr w:type="spellEnd"/>
            <w:r w:rsidR="009813E0" w:rsidRPr="00017E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813E0" w:rsidRPr="00017EB7">
              <w:rPr>
                <w:rFonts w:ascii="Calibri" w:hAnsi="Calibri" w:cs="Calibri"/>
                <w:sz w:val="20"/>
                <w:szCs w:val="20"/>
              </w:rPr>
              <w:t>inc</w:t>
            </w:r>
            <w:proofErr w:type="spellEnd"/>
            <w:r w:rsidR="009813E0" w:rsidRPr="00017EB7">
              <w:rPr>
                <w:rFonts w:ascii="Calibri" w:hAnsi="Calibri" w:cs="Calibri"/>
                <w:sz w:val="20"/>
                <w:szCs w:val="20"/>
              </w:rPr>
              <w:t xml:space="preserve"> GST </w:t>
            </w:r>
            <w:r w:rsidR="00770B05" w:rsidRPr="00017EB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A2710" w:rsidRPr="00017EB7">
              <w:rPr>
                <w:rFonts w:ascii="Calibri" w:hAnsi="Calibri" w:cs="Calibri"/>
                <w:sz w:val="20"/>
                <w:szCs w:val="20"/>
              </w:rPr>
              <w:t>the equivalent of 8</w:t>
            </w:r>
            <w:r w:rsidR="009813E0" w:rsidRPr="00017E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70B05" w:rsidRPr="00017EB7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  <w:r w:rsidR="009813E0" w:rsidRPr="00017EB7">
              <w:rPr>
                <w:rFonts w:ascii="Calibri" w:hAnsi="Calibri" w:cs="Calibri"/>
                <w:sz w:val="20"/>
                <w:szCs w:val="20"/>
              </w:rPr>
              <w:t xml:space="preserve"> per week</w:t>
            </w:r>
            <w:r w:rsidR="00770B05" w:rsidRPr="00017EB7">
              <w:rPr>
                <w:rFonts w:ascii="Calibri" w:hAnsi="Calibri" w:cs="Calibri"/>
                <w:sz w:val="20"/>
                <w:szCs w:val="20"/>
              </w:rPr>
              <w:t>)</w:t>
            </w:r>
            <w:r w:rsidR="009813E0" w:rsidRPr="00017EB7">
              <w:rPr>
                <w:rFonts w:ascii="Calibri" w:hAnsi="Calibri" w:cs="Calibri"/>
                <w:sz w:val="20"/>
                <w:szCs w:val="20"/>
              </w:rPr>
              <w:t xml:space="preserve"> for 64 weeks ( October 2012 to December 2013)</w:t>
            </w:r>
          </w:p>
          <w:p w:rsidR="00770B05" w:rsidRDefault="00770B05" w:rsidP="00C1497B">
            <w:pPr>
              <w:rPr>
                <w:rFonts w:cstheme="minorHAnsi"/>
                <w:sz w:val="20"/>
                <w:szCs w:val="20"/>
              </w:rPr>
            </w:pPr>
          </w:p>
          <w:p w:rsidR="00770B05" w:rsidRDefault="00770B05" w:rsidP="00770B05">
            <w:pPr>
              <w:ind w:left="4380"/>
              <w:rPr>
                <w:rFonts w:cstheme="minorHAnsi"/>
                <w:sz w:val="20"/>
              </w:rPr>
            </w:pPr>
          </w:p>
          <w:p w:rsidR="00770B05" w:rsidRDefault="00770B05" w:rsidP="00770B0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Manage the liaison with education providers</w:t>
            </w:r>
          </w:p>
          <w:p w:rsidR="00770B05" w:rsidRDefault="00770B05" w:rsidP="00770B05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Communicate with partners and education providers to achieve the best fit for student needs and placement setting</w:t>
            </w:r>
          </w:p>
          <w:p w:rsidR="00770B05" w:rsidRDefault="00770B05" w:rsidP="00770B05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Promote all partners, and the DWECH partnership for the attraction of students to the region</w:t>
            </w:r>
          </w:p>
          <w:p w:rsidR="00770B05" w:rsidRDefault="00770B05" w:rsidP="00770B05">
            <w:pPr>
              <w:ind w:left="1080"/>
              <w:rPr>
                <w:rFonts w:cstheme="minorHAnsi"/>
                <w:sz w:val="20"/>
              </w:rPr>
            </w:pPr>
          </w:p>
          <w:p w:rsidR="00770B05" w:rsidRDefault="00770B05" w:rsidP="00770B05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DWECH Clinical Partnership Project Evaluation</w:t>
            </w:r>
          </w:p>
          <w:p w:rsidR="00770B05" w:rsidRDefault="00770B05" w:rsidP="00770B05">
            <w:pPr>
              <w:pStyle w:val="ListParagraph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Collaborate with DWECH to establish systems for the collection of information to satisfy project evaluation and recommendations</w:t>
            </w:r>
            <w:r w:rsidR="009813E0">
              <w:rPr>
                <w:rFonts w:cstheme="minorHAnsi"/>
                <w:sz w:val="20"/>
              </w:rPr>
              <w:t xml:space="preserve"> including information requests from the Department or Clinical Placement Network.</w:t>
            </w:r>
          </w:p>
          <w:p w:rsidR="00770B05" w:rsidRDefault="00770B05" w:rsidP="00770B05">
            <w:pPr>
              <w:pStyle w:val="ListParagraph"/>
              <w:ind w:left="360"/>
              <w:rPr>
                <w:rFonts w:cstheme="minorHAnsi"/>
              </w:rPr>
            </w:pPr>
          </w:p>
          <w:p w:rsidR="00770B05" w:rsidRDefault="00770B05" w:rsidP="00770B05">
            <w:pPr>
              <w:rPr>
                <w:sz w:val="18"/>
                <w:szCs w:val="18"/>
              </w:rPr>
            </w:pPr>
          </w:p>
          <w:p w:rsidR="00770B05" w:rsidRPr="007F689D" w:rsidRDefault="00770B05" w:rsidP="007F689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F689D">
              <w:rPr>
                <w:sz w:val="20"/>
                <w:szCs w:val="20"/>
              </w:rPr>
              <w:lastRenderedPageBreak/>
              <w:t>Commit to reviewing drafted material and content for the community, student and clinical supervision resources relevant to PDH</w:t>
            </w:r>
          </w:p>
          <w:p w:rsidR="00C53780" w:rsidRPr="00375F5B" w:rsidRDefault="00C53780">
            <w:pPr>
              <w:rPr>
                <w:sz w:val="20"/>
                <w:szCs w:val="20"/>
              </w:rPr>
            </w:pPr>
          </w:p>
        </w:tc>
      </w:tr>
      <w:tr w:rsidR="00C53780" w:rsidTr="00C53780">
        <w:tc>
          <w:tcPr>
            <w:tcW w:w="1809" w:type="dxa"/>
            <w:shd w:val="clear" w:color="auto" w:fill="FFC000"/>
          </w:tcPr>
          <w:p w:rsidR="00C53780" w:rsidRPr="00375F5B" w:rsidRDefault="00C53780" w:rsidP="00770B0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375F5B">
              <w:rPr>
                <w:b/>
              </w:rPr>
              <w:lastRenderedPageBreak/>
              <w:t xml:space="preserve">Winda </w:t>
            </w:r>
            <w:proofErr w:type="spellStart"/>
            <w:r w:rsidRPr="00375F5B">
              <w:rPr>
                <w:b/>
              </w:rPr>
              <w:t>mara</w:t>
            </w:r>
            <w:proofErr w:type="spellEnd"/>
            <w:r w:rsidRPr="00375F5B">
              <w:rPr>
                <w:b/>
              </w:rPr>
              <w:t xml:space="preserve"> </w:t>
            </w:r>
          </w:p>
        </w:tc>
        <w:tc>
          <w:tcPr>
            <w:tcW w:w="2068" w:type="dxa"/>
          </w:tcPr>
          <w:p w:rsidR="00C53780" w:rsidRPr="005F4AB9" w:rsidRDefault="00C53780" w:rsidP="00316D01">
            <w:pPr>
              <w:rPr>
                <w:sz w:val="20"/>
                <w:szCs w:val="20"/>
              </w:rPr>
            </w:pPr>
            <w:r w:rsidRPr="005F4AB9">
              <w:rPr>
                <w:sz w:val="20"/>
                <w:szCs w:val="20"/>
              </w:rPr>
              <w:t>Student placement logistics</w:t>
            </w:r>
          </w:p>
          <w:p w:rsidR="00C53780" w:rsidRPr="005F4AB9" w:rsidRDefault="00C53780" w:rsidP="00316D01">
            <w:pPr>
              <w:rPr>
                <w:sz w:val="20"/>
                <w:szCs w:val="20"/>
              </w:rPr>
            </w:pPr>
          </w:p>
          <w:p w:rsidR="00C53780" w:rsidRDefault="00C53780" w:rsidP="00316D01">
            <w:pPr>
              <w:rPr>
                <w:sz w:val="20"/>
                <w:szCs w:val="20"/>
              </w:rPr>
            </w:pPr>
          </w:p>
          <w:p w:rsidR="00C53780" w:rsidRPr="005F4AB9" w:rsidRDefault="00C53780" w:rsidP="00316D01">
            <w:pPr>
              <w:rPr>
                <w:sz w:val="20"/>
                <w:szCs w:val="20"/>
              </w:rPr>
            </w:pPr>
            <w:r w:rsidRPr="005F4AB9">
              <w:rPr>
                <w:sz w:val="20"/>
                <w:szCs w:val="20"/>
              </w:rPr>
              <w:t xml:space="preserve">Cultural Safety Education </w:t>
            </w:r>
          </w:p>
          <w:p w:rsidR="00C53780" w:rsidRPr="005F4AB9" w:rsidRDefault="00C53780" w:rsidP="00316D01">
            <w:pPr>
              <w:rPr>
                <w:sz w:val="20"/>
                <w:szCs w:val="20"/>
              </w:rPr>
            </w:pPr>
          </w:p>
          <w:p w:rsidR="00C53780" w:rsidRDefault="00C53780" w:rsidP="00316D01">
            <w:pPr>
              <w:rPr>
                <w:sz w:val="20"/>
                <w:szCs w:val="20"/>
              </w:rPr>
            </w:pPr>
            <w:r w:rsidRPr="005F4AB9">
              <w:rPr>
                <w:sz w:val="20"/>
                <w:szCs w:val="20"/>
              </w:rPr>
              <w:t>Clinical supervision</w:t>
            </w:r>
          </w:p>
          <w:p w:rsidR="00C53780" w:rsidRDefault="00C53780" w:rsidP="00316D01">
            <w:pPr>
              <w:rPr>
                <w:sz w:val="20"/>
                <w:szCs w:val="20"/>
              </w:rPr>
            </w:pPr>
          </w:p>
          <w:p w:rsidR="00C53780" w:rsidRDefault="00C53780" w:rsidP="00316D01">
            <w:pPr>
              <w:rPr>
                <w:sz w:val="20"/>
                <w:szCs w:val="20"/>
              </w:rPr>
            </w:pPr>
          </w:p>
          <w:p w:rsidR="00C53780" w:rsidRDefault="00C53780" w:rsidP="00316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evaluation </w:t>
            </w:r>
          </w:p>
          <w:p w:rsidR="00C53780" w:rsidRDefault="00C53780" w:rsidP="00316D01">
            <w:pPr>
              <w:rPr>
                <w:sz w:val="20"/>
                <w:szCs w:val="20"/>
              </w:rPr>
            </w:pPr>
          </w:p>
          <w:p w:rsidR="00C53780" w:rsidRDefault="00C53780" w:rsidP="00316D01">
            <w:pPr>
              <w:rPr>
                <w:sz w:val="20"/>
                <w:szCs w:val="20"/>
              </w:rPr>
            </w:pPr>
          </w:p>
          <w:p w:rsidR="00C53780" w:rsidRDefault="00C53780" w:rsidP="00316D01">
            <w:pPr>
              <w:rPr>
                <w:sz w:val="20"/>
                <w:szCs w:val="20"/>
              </w:rPr>
            </w:pPr>
          </w:p>
          <w:p w:rsidR="00C53780" w:rsidRDefault="00770B05" w:rsidP="00366DA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Community, </w:t>
            </w:r>
            <w:r w:rsidR="00C53780">
              <w:rPr>
                <w:sz w:val="20"/>
                <w:szCs w:val="20"/>
              </w:rPr>
              <w:t>Student l</w:t>
            </w:r>
            <w:r>
              <w:rPr>
                <w:sz w:val="20"/>
                <w:szCs w:val="20"/>
              </w:rPr>
              <w:t xml:space="preserve"> and Clinical Supervision Resources</w:t>
            </w:r>
            <w:r w:rsidR="00C53780">
              <w:rPr>
                <w:sz w:val="18"/>
                <w:szCs w:val="18"/>
              </w:rPr>
              <w:t xml:space="preserve"> </w:t>
            </w:r>
          </w:p>
          <w:p w:rsidR="00C53780" w:rsidRDefault="00C53780" w:rsidP="00316D01"/>
        </w:tc>
        <w:tc>
          <w:tcPr>
            <w:tcW w:w="5729" w:type="dxa"/>
          </w:tcPr>
          <w:p w:rsidR="00C53780" w:rsidRDefault="00C53780" w:rsidP="00316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  <w:r w:rsidRPr="00E73582">
              <w:rPr>
                <w:sz w:val="20"/>
                <w:szCs w:val="20"/>
              </w:rPr>
              <w:t>Allocate staff time for one contact per</w:t>
            </w:r>
            <w:r>
              <w:rPr>
                <w:sz w:val="20"/>
                <w:szCs w:val="20"/>
              </w:rPr>
              <w:t xml:space="preserve">son to liaise with Winda </w:t>
            </w:r>
            <w:proofErr w:type="spellStart"/>
            <w:r>
              <w:rPr>
                <w:sz w:val="20"/>
                <w:szCs w:val="20"/>
              </w:rPr>
              <w:t>mara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73582">
              <w:rPr>
                <w:sz w:val="20"/>
                <w:szCs w:val="20"/>
              </w:rPr>
              <w:t xml:space="preserve"> placed stu</w:t>
            </w:r>
            <w:r w:rsidR="00770B05">
              <w:rPr>
                <w:sz w:val="20"/>
                <w:szCs w:val="20"/>
              </w:rPr>
              <w:t xml:space="preserve">dents and the project’s Clinical Placement </w:t>
            </w:r>
            <w:r w:rsidRPr="00E73582">
              <w:rPr>
                <w:sz w:val="20"/>
                <w:szCs w:val="20"/>
              </w:rPr>
              <w:t xml:space="preserve"> Co-ordinator</w:t>
            </w:r>
          </w:p>
          <w:p w:rsidR="00C53780" w:rsidRDefault="00C53780" w:rsidP="00316D01">
            <w:pPr>
              <w:rPr>
                <w:sz w:val="20"/>
                <w:szCs w:val="20"/>
              </w:rPr>
            </w:pPr>
          </w:p>
          <w:p w:rsidR="00C53780" w:rsidRPr="005F4AB9" w:rsidRDefault="00C53780" w:rsidP="00316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 </w:t>
            </w:r>
            <w:r w:rsidRPr="005F4AB9">
              <w:rPr>
                <w:sz w:val="20"/>
                <w:szCs w:val="20"/>
              </w:rPr>
              <w:t xml:space="preserve">Provide opportunities for students to attend cultural safety education </w:t>
            </w:r>
            <w:r w:rsidR="00770B05">
              <w:rPr>
                <w:sz w:val="20"/>
                <w:szCs w:val="20"/>
              </w:rPr>
              <w:t>at DWECH</w:t>
            </w:r>
          </w:p>
          <w:p w:rsidR="00C53780" w:rsidRPr="005F4AB9" w:rsidRDefault="00C53780" w:rsidP="00316D01">
            <w:pPr>
              <w:rPr>
                <w:sz w:val="20"/>
                <w:szCs w:val="20"/>
              </w:rPr>
            </w:pPr>
          </w:p>
          <w:p w:rsidR="00C53780" w:rsidRDefault="00C53780" w:rsidP="00316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 </w:t>
            </w:r>
            <w:r w:rsidRPr="005F4AB9">
              <w:rPr>
                <w:sz w:val="20"/>
                <w:szCs w:val="20"/>
              </w:rPr>
              <w:t>Work with DWECH to identify staff for clinical supervision training and mentoring</w:t>
            </w:r>
          </w:p>
          <w:p w:rsidR="00C53780" w:rsidRDefault="00C53780" w:rsidP="00316D01">
            <w:pPr>
              <w:rPr>
                <w:sz w:val="20"/>
                <w:szCs w:val="20"/>
              </w:rPr>
            </w:pPr>
          </w:p>
          <w:p w:rsidR="007F689D" w:rsidRDefault="00C53780" w:rsidP="007F689D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 xml:space="preserve">6.4 </w:t>
            </w:r>
            <w:r w:rsidR="007F689D">
              <w:rPr>
                <w:rFonts w:cstheme="minorHAnsi"/>
                <w:sz w:val="20"/>
              </w:rPr>
              <w:t>DWECH Clinical Partnership Project Evaluation</w:t>
            </w:r>
          </w:p>
          <w:p w:rsidR="00C53780" w:rsidRDefault="007F689D" w:rsidP="007F689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Collaborate with DWECH to establish systems for the collection of information to satisfy project evaluation and recommendations including information requests from the Department or Clinical Placement Network</w:t>
            </w:r>
          </w:p>
          <w:p w:rsidR="00C53780" w:rsidRDefault="00C53780" w:rsidP="00316D01">
            <w:pPr>
              <w:rPr>
                <w:sz w:val="20"/>
                <w:szCs w:val="20"/>
              </w:rPr>
            </w:pPr>
          </w:p>
          <w:p w:rsidR="00770B05" w:rsidRDefault="00770B05" w:rsidP="00316D01">
            <w:pPr>
              <w:rPr>
                <w:sz w:val="20"/>
                <w:szCs w:val="20"/>
              </w:rPr>
            </w:pPr>
          </w:p>
          <w:p w:rsidR="00C53780" w:rsidRDefault="00C53780" w:rsidP="00316D01">
            <w:r>
              <w:rPr>
                <w:sz w:val="20"/>
                <w:szCs w:val="20"/>
              </w:rPr>
              <w:t xml:space="preserve">6.5 Commit to reviewing drafted material and content relevant to Winda </w:t>
            </w:r>
            <w:proofErr w:type="spellStart"/>
            <w:r>
              <w:rPr>
                <w:sz w:val="20"/>
                <w:szCs w:val="20"/>
              </w:rPr>
              <w:t>mara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D43BB" w:rsidRDefault="00ED43BB"/>
    <w:p w:rsidR="006400EE" w:rsidRDefault="00316D01" w:rsidP="00316D01">
      <w:pPr>
        <w:pStyle w:val="Heading1"/>
      </w:pPr>
      <w:r>
        <w:t>Dispute Resolution</w:t>
      </w:r>
    </w:p>
    <w:p w:rsidR="0048106D" w:rsidRDefault="0048106D" w:rsidP="0048106D">
      <w:pPr>
        <w:autoSpaceDE w:val="0"/>
        <w:autoSpaceDN w:val="0"/>
        <w:adjustRightInd w:val="0"/>
        <w:rPr>
          <w:rFonts w:cstheme="minorHAnsi"/>
        </w:rPr>
      </w:pPr>
    </w:p>
    <w:p w:rsidR="0048106D" w:rsidRPr="0048106D" w:rsidRDefault="0048106D" w:rsidP="0048106D">
      <w:pPr>
        <w:autoSpaceDE w:val="0"/>
        <w:autoSpaceDN w:val="0"/>
        <w:adjustRightInd w:val="0"/>
        <w:rPr>
          <w:rFonts w:cstheme="minorHAnsi"/>
        </w:rPr>
      </w:pPr>
      <w:r w:rsidRPr="00763F2B">
        <w:rPr>
          <w:rFonts w:cstheme="minorHAnsi"/>
        </w:rPr>
        <w:t xml:space="preserve">The objective of Dispute Resolution is to achieve a result which is fair, non-discriminatory and equitable. </w:t>
      </w:r>
    </w:p>
    <w:p w:rsidR="0048106D" w:rsidRPr="00A336D8" w:rsidRDefault="0048106D" w:rsidP="00A336D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If the Steering Group</w:t>
      </w:r>
      <w:r w:rsidRPr="00763F2B">
        <w:rPr>
          <w:rFonts w:cstheme="minorHAnsi"/>
        </w:rPr>
        <w:t xml:space="preserve"> is unable to resolve the issue, by a mutually agreed method an agreed process of mediation will be implemented and the cost sha</w:t>
      </w:r>
      <w:r>
        <w:rPr>
          <w:rFonts w:cstheme="minorHAnsi"/>
        </w:rPr>
        <w:t xml:space="preserve">red equally by </w:t>
      </w:r>
      <w:proofErr w:type="gramStart"/>
      <w:r>
        <w:rPr>
          <w:rFonts w:cstheme="minorHAnsi"/>
        </w:rPr>
        <w:t>the  partners</w:t>
      </w:r>
      <w:proofErr w:type="gramEnd"/>
      <w:r w:rsidRPr="00763F2B">
        <w:rPr>
          <w:rFonts w:cstheme="minorHAnsi"/>
        </w:rPr>
        <w:t>.</w:t>
      </w:r>
    </w:p>
    <w:p w:rsidR="00316D01" w:rsidRPr="00316D01" w:rsidRDefault="00B647AD" w:rsidP="00316D01">
      <w:pPr>
        <w:pStyle w:val="Heading1"/>
      </w:pPr>
      <w:r w:rsidRPr="00316D01">
        <w:t xml:space="preserve">Term of the Agreement </w:t>
      </w:r>
    </w:p>
    <w:p w:rsidR="006400EE" w:rsidRDefault="00B647AD" w:rsidP="00B647AD">
      <w:pPr>
        <w:rPr>
          <w:sz w:val="23"/>
          <w:szCs w:val="23"/>
        </w:rPr>
      </w:pPr>
      <w:r>
        <w:rPr>
          <w:sz w:val="23"/>
          <w:szCs w:val="23"/>
        </w:rPr>
        <w:t>The te</w:t>
      </w:r>
      <w:r w:rsidR="00017EB7">
        <w:rPr>
          <w:sz w:val="23"/>
          <w:szCs w:val="23"/>
        </w:rPr>
        <w:t xml:space="preserve">rm of the agreement is from </w:t>
      </w:r>
      <w:proofErr w:type="gramStart"/>
      <w:r w:rsidR="00017EB7">
        <w:rPr>
          <w:sz w:val="23"/>
          <w:szCs w:val="23"/>
        </w:rPr>
        <w:t xml:space="preserve">October </w:t>
      </w:r>
      <w:r w:rsidR="00F34114">
        <w:rPr>
          <w:sz w:val="23"/>
          <w:szCs w:val="23"/>
        </w:rPr>
        <w:t xml:space="preserve"> 2012</w:t>
      </w:r>
      <w:proofErr w:type="gramEnd"/>
      <w:r w:rsidR="00F34114">
        <w:rPr>
          <w:sz w:val="23"/>
          <w:szCs w:val="23"/>
        </w:rPr>
        <w:t xml:space="preserve"> to December 2013.</w:t>
      </w:r>
    </w:p>
    <w:p w:rsidR="00F34114" w:rsidRPr="00E526EC" w:rsidRDefault="00F34114" w:rsidP="00E526EC">
      <w:pPr>
        <w:pStyle w:val="Heading1"/>
        <w:rPr>
          <w:sz w:val="32"/>
          <w:szCs w:val="32"/>
        </w:rPr>
      </w:pPr>
      <w:r>
        <w:rPr>
          <w:sz w:val="23"/>
          <w:szCs w:val="23"/>
        </w:rPr>
        <w:br w:type="page"/>
      </w:r>
      <w:r w:rsidRPr="00E526EC">
        <w:rPr>
          <w:sz w:val="32"/>
          <w:szCs w:val="32"/>
        </w:rPr>
        <w:lastRenderedPageBreak/>
        <w:t xml:space="preserve">Signatures </w:t>
      </w:r>
    </w:p>
    <w:p w:rsidR="00F34114" w:rsidRDefault="00F34114" w:rsidP="00F34114">
      <w:pPr>
        <w:pStyle w:val="Heading1"/>
      </w:pPr>
      <w:r>
        <w:t xml:space="preserve">Active Health                                                                                           </w:t>
      </w:r>
    </w:p>
    <w:p w:rsidR="00F34114" w:rsidRDefault="00F34114" w:rsidP="00B647AD">
      <w:pPr>
        <w:rPr>
          <w:sz w:val="23"/>
          <w:szCs w:val="23"/>
        </w:rPr>
      </w:pPr>
    </w:p>
    <w:p w:rsidR="00F34114" w:rsidRDefault="00F34114" w:rsidP="00B647AD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</w:t>
      </w:r>
      <w:r w:rsidR="00E526EC">
        <w:rPr>
          <w:sz w:val="23"/>
          <w:szCs w:val="23"/>
        </w:rPr>
        <w:t>…………….</w:t>
      </w:r>
    </w:p>
    <w:p w:rsidR="00F34114" w:rsidRPr="00E526EC" w:rsidRDefault="00F34114" w:rsidP="00E526EC">
      <w:pPr>
        <w:pStyle w:val="Heading1"/>
        <w:rPr>
          <w:sz w:val="24"/>
          <w:szCs w:val="24"/>
        </w:rPr>
      </w:pPr>
      <w:proofErr w:type="spellStart"/>
      <w:r w:rsidRPr="00E526EC">
        <w:rPr>
          <w:sz w:val="24"/>
          <w:szCs w:val="24"/>
        </w:rPr>
        <w:t>Dr.</w:t>
      </w:r>
      <w:proofErr w:type="spellEnd"/>
      <w:r w:rsidRPr="00E526EC">
        <w:rPr>
          <w:sz w:val="24"/>
          <w:szCs w:val="24"/>
        </w:rPr>
        <w:t xml:space="preserve"> </w:t>
      </w:r>
      <w:proofErr w:type="spellStart"/>
      <w:r w:rsidRPr="00E526EC">
        <w:rPr>
          <w:sz w:val="24"/>
          <w:szCs w:val="24"/>
        </w:rPr>
        <w:t>Marg</w:t>
      </w:r>
      <w:proofErr w:type="spellEnd"/>
      <w:r w:rsidRPr="00E526EC">
        <w:rPr>
          <w:sz w:val="24"/>
          <w:szCs w:val="24"/>
        </w:rPr>
        <w:t xml:space="preserve"> </w:t>
      </w:r>
      <w:proofErr w:type="spellStart"/>
      <w:r w:rsidRPr="00E526EC">
        <w:rPr>
          <w:sz w:val="24"/>
          <w:szCs w:val="24"/>
        </w:rPr>
        <w:t>Garde</w:t>
      </w:r>
      <w:proofErr w:type="spellEnd"/>
      <w:r w:rsidRPr="00E526EC">
        <w:rPr>
          <w:sz w:val="24"/>
          <w:szCs w:val="24"/>
        </w:rPr>
        <w:t>,   Clinical Director</w:t>
      </w:r>
      <w:r w:rsidR="00E526EC">
        <w:rPr>
          <w:sz w:val="24"/>
          <w:szCs w:val="24"/>
        </w:rPr>
        <w:t xml:space="preserve">                  date </w:t>
      </w:r>
    </w:p>
    <w:p w:rsidR="00F34114" w:rsidRDefault="00F34114" w:rsidP="00E526EC">
      <w:pPr>
        <w:pStyle w:val="Heading1"/>
      </w:pPr>
      <w:r>
        <w:t xml:space="preserve">Dhauwurd Wurrung Elderly Community Health Service </w:t>
      </w:r>
      <w:proofErr w:type="spellStart"/>
      <w:r>
        <w:t>Inc</w:t>
      </w:r>
      <w:proofErr w:type="spellEnd"/>
    </w:p>
    <w:p w:rsidR="00E526EC" w:rsidRDefault="00E526EC" w:rsidP="00B647AD">
      <w:pPr>
        <w:rPr>
          <w:sz w:val="23"/>
          <w:szCs w:val="23"/>
        </w:rPr>
      </w:pPr>
    </w:p>
    <w:p w:rsidR="00F34114" w:rsidRDefault="00F34114" w:rsidP="00B647AD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………………………………………………………………………………………….</w:t>
      </w:r>
      <w:r w:rsidR="00E526EC">
        <w:rPr>
          <w:sz w:val="23"/>
          <w:szCs w:val="23"/>
        </w:rPr>
        <w:t xml:space="preserve">   </w:t>
      </w:r>
    </w:p>
    <w:p w:rsidR="00F34114" w:rsidRPr="00E526EC" w:rsidRDefault="00F34114" w:rsidP="00E526EC">
      <w:pPr>
        <w:pStyle w:val="Heading1"/>
        <w:rPr>
          <w:sz w:val="24"/>
          <w:szCs w:val="24"/>
        </w:rPr>
      </w:pPr>
      <w:r w:rsidRPr="00E526EC">
        <w:rPr>
          <w:sz w:val="24"/>
          <w:szCs w:val="24"/>
        </w:rPr>
        <w:t>Ros Alexander</w:t>
      </w:r>
      <w:proofErr w:type="gramStart"/>
      <w:r w:rsidRPr="00E526EC">
        <w:rPr>
          <w:sz w:val="24"/>
          <w:szCs w:val="24"/>
        </w:rPr>
        <w:t>,  Chief</w:t>
      </w:r>
      <w:proofErr w:type="gramEnd"/>
      <w:r w:rsidRPr="00E526EC">
        <w:rPr>
          <w:sz w:val="24"/>
          <w:szCs w:val="24"/>
        </w:rPr>
        <w:t xml:space="preserve"> Executive Officer </w:t>
      </w:r>
      <w:r w:rsidR="00E526EC">
        <w:rPr>
          <w:sz w:val="24"/>
          <w:szCs w:val="24"/>
        </w:rPr>
        <w:t xml:space="preserve">          </w:t>
      </w:r>
      <w:r w:rsidR="00E526EC" w:rsidRPr="00E526EC">
        <w:rPr>
          <w:sz w:val="24"/>
          <w:szCs w:val="24"/>
        </w:rPr>
        <w:t xml:space="preserve"> date</w:t>
      </w:r>
    </w:p>
    <w:p w:rsidR="00F34114" w:rsidRDefault="00F34114" w:rsidP="00E526EC">
      <w:pPr>
        <w:pStyle w:val="Heading1"/>
      </w:pPr>
      <w:r>
        <w:t xml:space="preserve">Heywood Rural Health </w:t>
      </w:r>
    </w:p>
    <w:p w:rsidR="00E526EC" w:rsidRPr="00E526EC" w:rsidRDefault="00E526EC" w:rsidP="00E526EC"/>
    <w:p w:rsidR="00F34114" w:rsidRDefault="00E526EC" w:rsidP="00B647AD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………………………………………………………………………………………….</w:t>
      </w:r>
    </w:p>
    <w:p w:rsidR="00F34114" w:rsidRPr="00E526EC" w:rsidRDefault="00F34114" w:rsidP="00E526EC">
      <w:pPr>
        <w:pStyle w:val="Heading1"/>
        <w:rPr>
          <w:sz w:val="24"/>
          <w:szCs w:val="24"/>
        </w:rPr>
      </w:pPr>
      <w:r w:rsidRPr="00E526EC">
        <w:rPr>
          <w:sz w:val="24"/>
          <w:szCs w:val="24"/>
        </w:rPr>
        <w:t xml:space="preserve">Fiona </w:t>
      </w:r>
      <w:proofErr w:type="spellStart"/>
      <w:r w:rsidRPr="00E526EC">
        <w:rPr>
          <w:sz w:val="24"/>
          <w:szCs w:val="24"/>
        </w:rPr>
        <w:t>Heenan</w:t>
      </w:r>
      <w:proofErr w:type="spellEnd"/>
      <w:proofErr w:type="gramStart"/>
      <w:r w:rsidRPr="00E526EC">
        <w:rPr>
          <w:sz w:val="24"/>
          <w:szCs w:val="24"/>
        </w:rPr>
        <w:t>,  Primary</w:t>
      </w:r>
      <w:proofErr w:type="gramEnd"/>
      <w:r w:rsidRPr="00E526EC">
        <w:rPr>
          <w:sz w:val="24"/>
          <w:szCs w:val="24"/>
        </w:rPr>
        <w:t xml:space="preserve"> Care Manager </w:t>
      </w:r>
      <w:r w:rsidR="00E526EC" w:rsidRPr="00E526EC">
        <w:rPr>
          <w:sz w:val="24"/>
          <w:szCs w:val="24"/>
        </w:rPr>
        <w:t xml:space="preserve">                     date</w:t>
      </w:r>
    </w:p>
    <w:p w:rsidR="00F34114" w:rsidRDefault="00F34114" w:rsidP="00E526EC">
      <w:pPr>
        <w:pStyle w:val="Heading1"/>
      </w:pPr>
      <w:r>
        <w:t xml:space="preserve">Portland District Health </w:t>
      </w:r>
    </w:p>
    <w:p w:rsidR="00E526EC" w:rsidRDefault="00E526EC" w:rsidP="00B647AD">
      <w:pPr>
        <w:rPr>
          <w:sz w:val="23"/>
          <w:szCs w:val="23"/>
        </w:rPr>
      </w:pPr>
    </w:p>
    <w:p w:rsidR="00F34114" w:rsidRDefault="00E526EC" w:rsidP="00B647AD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………………………………………………………………………………………..</w:t>
      </w:r>
    </w:p>
    <w:p w:rsidR="00F34114" w:rsidRPr="00E526EC" w:rsidRDefault="00F34114" w:rsidP="00E526EC">
      <w:pPr>
        <w:pStyle w:val="Heading1"/>
        <w:rPr>
          <w:sz w:val="24"/>
          <w:szCs w:val="24"/>
        </w:rPr>
      </w:pPr>
      <w:r w:rsidRPr="00E526EC">
        <w:rPr>
          <w:sz w:val="24"/>
          <w:szCs w:val="24"/>
        </w:rPr>
        <w:t xml:space="preserve">Frank </w:t>
      </w:r>
      <w:proofErr w:type="spellStart"/>
      <w:r w:rsidRPr="00E526EC">
        <w:rPr>
          <w:sz w:val="24"/>
          <w:szCs w:val="24"/>
        </w:rPr>
        <w:t>Megans</w:t>
      </w:r>
      <w:proofErr w:type="spellEnd"/>
      <w:proofErr w:type="gramStart"/>
      <w:r w:rsidRPr="00E526EC">
        <w:rPr>
          <w:sz w:val="24"/>
          <w:szCs w:val="24"/>
        </w:rPr>
        <w:t>,  Director</w:t>
      </w:r>
      <w:proofErr w:type="gramEnd"/>
      <w:r w:rsidRPr="00E526EC">
        <w:rPr>
          <w:sz w:val="24"/>
          <w:szCs w:val="24"/>
        </w:rPr>
        <w:t xml:space="preserve"> of Nursing</w:t>
      </w:r>
      <w:r w:rsidR="00E526EC" w:rsidRPr="00E526EC">
        <w:rPr>
          <w:sz w:val="24"/>
          <w:szCs w:val="24"/>
        </w:rPr>
        <w:t xml:space="preserve">                          date</w:t>
      </w:r>
    </w:p>
    <w:p w:rsidR="00F34114" w:rsidRDefault="00F34114" w:rsidP="00E526EC">
      <w:pPr>
        <w:pStyle w:val="Heading1"/>
      </w:pPr>
      <w:r>
        <w:t xml:space="preserve">Winda </w:t>
      </w:r>
      <w:proofErr w:type="spellStart"/>
      <w:r>
        <w:t>Marra</w:t>
      </w:r>
      <w:proofErr w:type="spellEnd"/>
      <w:r>
        <w:t xml:space="preserve"> Aboriginal Co-operative </w:t>
      </w:r>
    </w:p>
    <w:p w:rsidR="00E526EC" w:rsidRPr="00E526EC" w:rsidRDefault="00E526EC" w:rsidP="00E526EC"/>
    <w:p w:rsidR="00E526EC" w:rsidRDefault="00E526EC" w:rsidP="00B647AD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…………………………………………………………………………………………….</w:t>
      </w:r>
    </w:p>
    <w:p w:rsidR="00E526EC" w:rsidRPr="00E526EC" w:rsidRDefault="00E526EC" w:rsidP="00E526EC">
      <w:pPr>
        <w:pStyle w:val="Heading1"/>
        <w:rPr>
          <w:sz w:val="24"/>
          <w:szCs w:val="24"/>
        </w:rPr>
      </w:pPr>
      <w:r w:rsidRPr="00E526EC">
        <w:rPr>
          <w:sz w:val="24"/>
          <w:szCs w:val="24"/>
        </w:rPr>
        <w:t>Michael Bell</w:t>
      </w:r>
      <w:proofErr w:type="gramStart"/>
      <w:r w:rsidRPr="00E526EC">
        <w:rPr>
          <w:sz w:val="24"/>
          <w:szCs w:val="24"/>
        </w:rPr>
        <w:t>,  Chief</w:t>
      </w:r>
      <w:proofErr w:type="gramEnd"/>
      <w:r w:rsidRPr="00E526EC">
        <w:rPr>
          <w:sz w:val="24"/>
          <w:szCs w:val="24"/>
        </w:rPr>
        <w:t xml:space="preserve"> Executive Officer                        date</w:t>
      </w:r>
    </w:p>
    <w:p w:rsidR="00F34114" w:rsidRDefault="00F34114" w:rsidP="00B647AD">
      <w:pPr>
        <w:rPr>
          <w:sz w:val="23"/>
          <w:szCs w:val="23"/>
        </w:rPr>
      </w:pPr>
    </w:p>
    <w:p w:rsidR="00F34114" w:rsidRDefault="00F34114" w:rsidP="00B647AD">
      <w:r>
        <w:rPr>
          <w:sz w:val="23"/>
          <w:szCs w:val="23"/>
        </w:rPr>
        <w:lastRenderedPageBreak/>
        <w:t xml:space="preserve"> </w:t>
      </w:r>
    </w:p>
    <w:sectPr w:rsidR="00F3411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70" w:rsidRDefault="00901C70" w:rsidP="00FF6B57">
      <w:pPr>
        <w:spacing w:after="0" w:line="240" w:lineRule="auto"/>
      </w:pPr>
      <w:r>
        <w:separator/>
      </w:r>
    </w:p>
  </w:endnote>
  <w:endnote w:type="continuationSeparator" w:id="0">
    <w:p w:rsidR="00901C70" w:rsidRDefault="00901C70" w:rsidP="00FF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70" w:rsidRDefault="00901C70" w:rsidP="00FF6B57">
      <w:pPr>
        <w:spacing w:after="0" w:line="240" w:lineRule="auto"/>
      </w:pPr>
      <w:r>
        <w:separator/>
      </w:r>
    </w:p>
  </w:footnote>
  <w:footnote w:type="continuationSeparator" w:id="0">
    <w:p w:rsidR="00901C70" w:rsidRDefault="00901C70" w:rsidP="00FF6B57">
      <w:pPr>
        <w:spacing w:after="0" w:line="240" w:lineRule="auto"/>
      </w:pPr>
      <w:r>
        <w:continuationSeparator/>
      </w:r>
    </w:p>
  </w:footnote>
  <w:footnote w:id="1">
    <w:p w:rsidR="00A146AC" w:rsidRDefault="00A146AC">
      <w:pPr>
        <w:pStyle w:val="FootnoteText"/>
      </w:pPr>
      <w:r>
        <w:rPr>
          <w:rStyle w:val="FootnoteReference"/>
        </w:rPr>
        <w:footnoteRef/>
      </w:r>
      <w:r w:rsidR="00F34114">
        <w:t xml:space="preserve"> </w:t>
      </w:r>
      <w:r>
        <w:t xml:space="preserve"> </w:t>
      </w:r>
      <w:r w:rsidR="00F34114">
        <w:rPr>
          <w:rFonts w:ascii="Times New Roman" w:hAnsi="Times New Roman"/>
          <w:color w:val="000000"/>
        </w:rPr>
        <w:t>Best Practice</w:t>
      </w:r>
      <w:r w:rsidR="00F34114">
        <w:rPr>
          <w:rFonts w:ascii="Times New Roman" w:hAnsi="Times New Roman"/>
          <w:color w:val="000000"/>
          <w:spacing w:val="-1"/>
        </w:rPr>
        <w:t xml:space="preserve"> </w:t>
      </w:r>
      <w:r w:rsidR="00F34114">
        <w:rPr>
          <w:rFonts w:ascii="Times New Roman" w:hAnsi="Times New Roman"/>
          <w:color w:val="000000"/>
        </w:rPr>
        <w:t>Clinical Learn</w:t>
      </w:r>
      <w:r w:rsidR="00F34114">
        <w:rPr>
          <w:rFonts w:ascii="Times New Roman" w:hAnsi="Times New Roman"/>
          <w:color w:val="000000"/>
          <w:spacing w:val="-2"/>
        </w:rPr>
        <w:t>i</w:t>
      </w:r>
      <w:r w:rsidR="00F34114">
        <w:rPr>
          <w:rFonts w:ascii="Times New Roman" w:hAnsi="Times New Roman"/>
          <w:color w:val="000000"/>
        </w:rPr>
        <w:t xml:space="preserve">ng </w:t>
      </w:r>
      <w:r w:rsidR="00F34114">
        <w:rPr>
          <w:rFonts w:ascii="Times New Roman" w:hAnsi="Times New Roman"/>
          <w:color w:val="000000"/>
          <w:spacing w:val="-1"/>
        </w:rPr>
        <w:t>E</w:t>
      </w:r>
      <w:r w:rsidR="00F34114">
        <w:rPr>
          <w:rFonts w:ascii="Times New Roman" w:hAnsi="Times New Roman"/>
          <w:color w:val="000000"/>
        </w:rPr>
        <w:t>nviron</w:t>
      </w:r>
      <w:r w:rsidR="00F34114">
        <w:rPr>
          <w:rFonts w:ascii="Times New Roman" w:hAnsi="Times New Roman"/>
          <w:color w:val="000000"/>
          <w:spacing w:val="-2"/>
        </w:rPr>
        <w:t>m</w:t>
      </w:r>
      <w:r w:rsidR="00F34114">
        <w:rPr>
          <w:rFonts w:ascii="Times New Roman" w:hAnsi="Times New Roman"/>
          <w:color w:val="000000"/>
          <w:spacing w:val="1"/>
        </w:rPr>
        <w:t>en</w:t>
      </w:r>
      <w:r w:rsidR="00F34114">
        <w:rPr>
          <w:rFonts w:ascii="Times New Roman" w:hAnsi="Times New Roman"/>
          <w:color w:val="000000"/>
        </w:rPr>
        <w:t>t Fra</w:t>
      </w:r>
      <w:r w:rsidR="00F34114">
        <w:rPr>
          <w:rFonts w:ascii="Times New Roman" w:hAnsi="Times New Roman"/>
          <w:color w:val="000000"/>
          <w:spacing w:val="-2"/>
        </w:rPr>
        <w:t>m</w:t>
      </w:r>
      <w:r w:rsidR="00F34114">
        <w:rPr>
          <w:rFonts w:ascii="Times New Roman" w:hAnsi="Times New Roman"/>
          <w:color w:val="000000"/>
        </w:rPr>
        <w:t>ework</w:t>
      </w:r>
      <w:r w:rsidR="00F34114">
        <w:rPr>
          <w:rFonts w:ascii="Times New Roman" w:hAnsi="Times New Roman"/>
          <w:color w:val="000000"/>
          <w:spacing w:val="-3"/>
        </w:rPr>
        <w:t xml:space="preserve"> </w:t>
      </w:r>
      <w:r w:rsidR="00F34114">
        <w:rPr>
          <w:rFonts w:ascii="Times New Roman" w:hAnsi="Times New Roman"/>
          <w:color w:val="000000"/>
        </w:rPr>
        <w:t>I</w:t>
      </w:r>
      <w:r w:rsidR="00F34114">
        <w:rPr>
          <w:rFonts w:ascii="Times New Roman" w:hAnsi="Times New Roman"/>
          <w:color w:val="000000"/>
          <w:spacing w:val="-2"/>
        </w:rPr>
        <w:t>m</w:t>
      </w:r>
      <w:r w:rsidR="00F34114">
        <w:rPr>
          <w:rFonts w:ascii="Times New Roman" w:hAnsi="Times New Roman"/>
          <w:color w:val="000000"/>
        </w:rPr>
        <w:t>pl</w:t>
      </w:r>
      <w:r w:rsidR="00F34114">
        <w:rPr>
          <w:rFonts w:ascii="Times New Roman" w:hAnsi="Times New Roman"/>
          <w:color w:val="000000"/>
          <w:spacing w:val="1"/>
        </w:rPr>
        <w:t>e</w:t>
      </w:r>
      <w:r w:rsidR="00F34114">
        <w:rPr>
          <w:rFonts w:ascii="Times New Roman" w:hAnsi="Times New Roman"/>
          <w:color w:val="000000"/>
          <w:spacing w:val="-2"/>
        </w:rPr>
        <w:t>m</w:t>
      </w:r>
      <w:r w:rsidR="00F34114">
        <w:rPr>
          <w:rFonts w:ascii="Times New Roman" w:hAnsi="Times New Roman"/>
          <w:color w:val="000000"/>
        </w:rPr>
        <w:t>entation PHASE</w:t>
      </w:r>
      <w:r w:rsidR="00F34114">
        <w:rPr>
          <w:rFonts w:ascii="Times New Roman" w:hAnsi="Times New Roman"/>
          <w:color w:val="000000"/>
          <w:spacing w:val="-1"/>
        </w:rPr>
        <w:t xml:space="preserve"> </w:t>
      </w:r>
      <w:r w:rsidR="00F34114">
        <w:rPr>
          <w:rFonts w:ascii="Times New Roman" w:hAnsi="Times New Roman"/>
          <w:color w:val="000000"/>
        </w:rPr>
        <w:t>No.</w:t>
      </w:r>
      <w:r w:rsidR="00F34114">
        <w:rPr>
          <w:rFonts w:ascii="Times New Roman" w:hAnsi="Times New Roman"/>
          <w:color w:val="000000"/>
          <w:spacing w:val="-1"/>
        </w:rPr>
        <w:t xml:space="preserve"> </w:t>
      </w:r>
      <w:r w:rsidR="00F34114">
        <w:rPr>
          <w:rFonts w:ascii="Times New Roman" w:hAnsi="Times New Roman"/>
          <w:color w:val="000000"/>
        </w:rPr>
        <w:t>1 Mar</w:t>
      </w:r>
      <w:r w:rsidR="00F34114">
        <w:rPr>
          <w:rFonts w:ascii="Times New Roman" w:hAnsi="Times New Roman"/>
          <w:color w:val="000000"/>
          <w:spacing w:val="-1"/>
        </w:rPr>
        <w:t>c</w:t>
      </w:r>
      <w:r w:rsidR="00F34114">
        <w:rPr>
          <w:rFonts w:ascii="Times New Roman" w:hAnsi="Times New Roman"/>
          <w:color w:val="000000"/>
        </w:rPr>
        <w:t>h</w:t>
      </w:r>
      <w:r w:rsidR="00F34114">
        <w:rPr>
          <w:rFonts w:ascii="Times New Roman" w:hAnsi="Times New Roman"/>
          <w:color w:val="000000"/>
          <w:spacing w:val="-1"/>
        </w:rPr>
        <w:t xml:space="preserve"> </w:t>
      </w:r>
      <w:r w:rsidR="00F34114">
        <w:rPr>
          <w:rFonts w:ascii="Times New Roman" w:hAnsi="Times New Roman"/>
          <w:color w:val="000000"/>
        </w:rPr>
        <w:t>2010.Darcy</w:t>
      </w:r>
      <w:r w:rsidR="00F34114">
        <w:rPr>
          <w:rFonts w:ascii="Times New Roman" w:hAnsi="Times New Roman"/>
          <w:color w:val="000000"/>
          <w:spacing w:val="-1"/>
        </w:rPr>
        <w:t xml:space="preserve"> </w:t>
      </w:r>
      <w:r w:rsidR="00F34114">
        <w:rPr>
          <w:rFonts w:ascii="Times New Roman" w:hAnsi="Times New Roman"/>
          <w:color w:val="000000"/>
        </w:rPr>
        <w:t>&amp;</w:t>
      </w:r>
      <w:r w:rsidR="00F34114">
        <w:rPr>
          <w:rFonts w:ascii="Times New Roman" w:hAnsi="Times New Roman"/>
          <w:color w:val="000000"/>
          <w:spacing w:val="-1"/>
        </w:rPr>
        <w:t xml:space="preserve"> </w:t>
      </w:r>
      <w:r w:rsidR="00F34114">
        <w:rPr>
          <w:rFonts w:ascii="Times New Roman" w:hAnsi="Times New Roman"/>
          <w:color w:val="000000"/>
        </w:rPr>
        <w:t>As</w:t>
      </w:r>
      <w:r w:rsidR="00F34114">
        <w:rPr>
          <w:rFonts w:ascii="Times New Roman" w:hAnsi="Times New Roman"/>
          <w:color w:val="000000"/>
          <w:spacing w:val="-1"/>
        </w:rPr>
        <w:t>so</w:t>
      </w:r>
      <w:r w:rsidR="00F34114">
        <w:rPr>
          <w:rFonts w:ascii="Times New Roman" w:hAnsi="Times New Roman"/>
          <w:color w:val="000000"/>
        </w:rPr>
        <w:t>ciates</w:t>
      </w:r>
    </w:p>
  </w:footnote>
  <w:footnote w:id="2">
    <w:p w:rsidR="00770B05" w:rsidRDefault="00770B05" w:rsidP="00770B05">
      <w:pPr>
        <w:pStyle w:val="FootnoteText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</w:rPr>
        <w:t xml:space="preserve">The number and type of student’s to be placed is in accordance with the DWECH </w:t>
      </w:r>
      <w:proofErr w:type="gramStart"/>
      <w:r>
        <w:rPr>
          <w:rFonts w:cstheme="minorHAnsi"/>
        </w:rPr>
        <w:t>project  submission</w:t>
      </w:r>
      <w:proofErr w:type="gramEnd"/>
      <w:r>
        <w:rPr>
          <w:rFonts w:cstheme="minorHAnsi"/>
        </w:rPr>
        <w:t xml:space="preserve"> to the   Victorian Department of Health , see below.</w:t>
      </w:r>
    </w:p>
  </w:footnote>
  <w:footnote w:id="3">
    <w:p w:rsidR="00770B05" w:rsidRDefault="00770B05" w:rsidP="00770B05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National Police Check </w:t>
      </w:r>
      <w:r>
        <w:rPr>
          <w:rFonts w:asciiTheme="minorHAnsi" w:hAnsiTheme="minorHAnsi" w:cstheme="minorHAnsi"/>
          <w:sz w:val="18"/>
          <w:szCs w:val="18"/>
        </w:rPr>
        <w:t xml:space="preserve"> (current on the 1st January every year of enrolment)</w:t>
      </w:r>
    </w:p>
    <w:p w:rsidR="00770B05" w:rsidRDefault="00770B05" w:rsidP="00770B05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b/>
          <w:bCs/>
          <w:sz w:val="18"/>
          <w:szCs w:val="18"/>
        </w:rPr>
        <w:t>Working with Children Check (current, note this check lasts 5 years)</w:t>
      </w:r>
    </w:p>
    <w:p w:rsidR="00770B05" w:rsidRDefault="00770B05" w:rsidP="00770B05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b/>
          <w:bCs/>
          <w:sz w:val="18"/>
          <w:szCs w:val="18"/>
        </w:rPr>
        <w:t>Immunisation Certificate (</w:t>
      </w:r>
      <w:r>
        <w:rPr>
          <w:rFonts w:asciiTheme="minorHAnsi" w:hAnsiTheme="minorHAnsi" w:cstheme="minorHAnsi"/>
          <w:sz w:val="18"/>
          <w:szCs w:val="18"/>
        </w:rPr>
        <w:t xml:space="preserve"> Hepatitis B &amp; C ; Measles, Mumps and Rubella (MMR)  Diphtheria, Polio, Tetanus and </w:t>
      </w:r>
    </w:p>
    <w:p w:rsidR="00770B05" w:rsidRDefault="00770B05" w:rsidP="00770B05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Pertussis (ADT)  Tuberculosis (recent </w:t>
      </w:r>
      <w:proofErr w:type="spellStart"/>
      <w:r>
        <w:rPr>
          <w:rFonts w:asciiTheme="minorHAnsi" w:hAnsiTheme="minorHAnsi" w:cstheme="minorHAnsi"/>
          <w:sz w:val="18"/>
          <w:szCs w:val="18"/>
        </w:rPr>
        <w:t>mantoux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 Varicella (Chicken Pox) Annual Influenza vaccine </w:t>
      </w:r>
    </w:p>
    <w:p w:rsidR="00770B05" w:rsidRDefault="00770B05" w:rsidP="00770B05">
      <w:pPr>
        <w:pStyle w:val="FootnoteText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9DCDB8400FE4C5E9A219C3F16118F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F45FC" w:rsidRDefault="00E75B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DWECH Expanded Settings FINAL REPORT Appendix 1</w:t>
        </w:r>
      </w:p>
    </w:sdtContent>
  </w:sdt>
  <w:p w:rsidR="0048106D" w:rsidRDefault="00481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774"/>
    <w:multiLevelType w:val="hybridMultilevel"/>
    <w:tmpl w:val="3036D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01022"/>
    <w:multiLevelType w:val="hybridMultilevel"/>
    <w:tmpl w:val="464E9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7BE"/>
    <w:multiLevelType w:val="hybridMultilevel"/>
    <w:tmpl w:val="D52A68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23B6"/>
    <w:multiLevelType w:val="multilevel"/>
    <w:tmpl w:val="89864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1AC772C"/>
    <w:multiLevelType w:val="hybridMultilevel"/>
    <w:tmpl w:val="6632F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321A9"/>
    <w:multiLevelType w:val="hybridMultilevel"/>
    <w:tmpl w:val="033A10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3A081E"/>
    <w:multiLevelType w:val="hybridMultilevel"/>
    <w:tmpl w:val="244CD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92872"/>
    <w:multiLevelType w:val="hybridMultilevel"/>
    <w:tmpl w:val="A51A44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9357FA"/>
    <w:multiLevelType w:val="hybridMultilevel"/>
    <w:tmpl w:val="B4080F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ind w:left="1800" w:hanging="360"/>
      </w:p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1D65D6"/>
    <w:multiLevelType w:val="hybridMultilevel"/>
    <w:tmpl w:val="286AF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971BC"/>
    <w:multiLevelType w:val="multilevel"/>
    <w:tmpl w:val="93465A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9D"/>
    <w:rsid w:val="00017EB7"/>
    <w:rsid w:val="00053C6B"/>
    <w:rsid w:val="00057EAB"/>
    <w:rsid w:val="00111363"/>
    <w:rsid w:val="00267507"/>
    <w:rsid w:val="002D67BB"/>
    <w:rsid w:val="00316D01"/>
    <w:rsid w:val="0032250C"/>
    <w:rsid w:val="00366DAF"/>
    <w:rsid w:val="00375F5B"/>
    <w:rsid w:val="00384C4D"/>
    <w:rsid w:val="003C4D5E"/>
    <w:rsid w:val="004715F6"/>
    <w:rsid w:val="0048106D"/>
    <w:rsid w:val="004C49A9"/>
    <w:rsid w:val="00525715"/>
    <w:rsid w:val="00533396"/>
    <w:rsid w:val="005568B3"/>
    <w:rsid w:val="005D1B0A"/>
    <w:rsid w:val="005E04C5"/>
    <w:rsid w:val="005F4AB9"/>
    <w:rsid w:val="006125D2"/>
    <w:rsid w:val="00620728"/>
    <w:rsid w:val="006400EE"/>
    <w:rsid w:val="00662E16"/>
    <w:rsid w:val="006C4422"/>
    <w:rsid w:val="00707677"/>
    <w:rsid w:val="00746C30"/>
    <w:rsid w:val="00764887"/>
    <w:rsid w:val="00770B05"/>
    <w:rsid w:val="007C45D0"/>
    <w:rsid w:val="007F689D"/>
    <w:rsid w:val="00901C70"/>
    <w:rsid w:val="00980363"/>
    <w:rsid w:val="009813E0"/>
    <w:rsid w:val="009B5E07"/>
    <w:rsid w:val="00A146AC"/>
    <w:rsid w:val="00A263CA"/>
    <w:rsid w:val="00A336D8"/>
    <w:rsid w:val="00A91CCE"/>
    <w:rsid w:val="00AF6754"/>
    <w:rsid w:val="00B16500"/>
    <w:rsid w:val="00B647AD"/>
    <w:rsid w:val="00B72F39"/>
    <w:rsid w:val="00BD126F"/>
    <w:rsid w:val="00C1497B"/>
    <w:rsid w:val="00C325E2"/>
    <w:rsid w:val="00C53780"/>
    <w:rsid w:val="00C83DC3"/>
    <w:rsid w:val="00CA2653"/>
    <w:rsid w:val="00CA5F77"/>
    <w:rsid w:val="00CE42EE"/>
    <w:rsid w:val="00D04431"/>
    <w:rsid w:val="00D311DF"/>
    <w:rsid w:val="00DB26CD"/>
    <w:rsid w:val="00E40D11"/>
    <w:rsid w:val="00E526EC"/>
    <w:rsid w:val="00E73582"/>
    <w:rsid w:val="00E75BFF"/>
    <w:rsid w:val="00EC789D"/>
    <w:rsid w:val="00ED183A"/>
    <w:rsid w:val="00ED43BB"/>
    <w:rsid w:val="00F34114"/>
    <w:rsid w:val="00F42A0A"/>
    <w:rsid w:val="00F852BD"/>
    <w:rsid w:val="00FA2710"/>
    <w:rsid w:val="00FF45F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8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5F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5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A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FF6B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6B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F6B57"/>
    <w:rPr>
      <w:vertAlign w:val="superscript"/>
    </w:rPr>
  </w:style>
  <w:style w:type="paragraph" w:customStyle="1" w:styleId="Default">
    <w:name w:val="Default"/>
    <w:rsid w:val="00B64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6D"/>
  </w:style>
  <w:style w:type="paragraph" w:styleId="Footer">
    <w:name w:val="footer"/>
    <w:basedOn w:val="Normal"/>
    <w:link w:val="FooterChar"/>
    <w:uiPriority w:val="99"/>
    <w:unhideWhenUsed/>
    <w:rsid w:val="00481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6D"/>
  </w:style>
  <w:style w:type="paragraph" w:customStyle="1" w:styleId="ecxmsonormal">
    <w:name w:val="ecxmsonormal"/>
    <w:basedOn w:val="Normal"/>
    <w:rsid w:val="0077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1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26F"/>
    <w:rPr>
      <w:b/>
      <w:bCs/>
      <w:sz w:val="20"/>
      <w:szCs w:val="20"/>
    </w:rPr>
  </w:style>
  <w:style w:type="paragraph" w:styleId="NoSpacing">
    <w:name w:val="No Spacing"/>
    <w:uiPriority w:val="1"/>
    <w:qFormat/>
    <w:rsid w:val="00F34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8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5F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5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A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FF6B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6B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F6B57"/>
    <w:rPr>
      <w:vertAlign w:val="superscript"/>
    </w:rPr>
  </w:style>
  <w:style w:type="paragraph" w:customStyle="1" w:styleId="Default">
    <w:name w:val="Default"/>
    <w:rsid w:val="00B64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6D"/>
  </w:style>
  <w:style w:type="paragraph" w:styleId="Footer">
    <w:name w:val="footer"/>
    <w:basedOn w:val="Normal"/>
    <w:link w:val="FooterChar"/>
    <w:uiPriority w:val="99"/>
    <w:unhideWhenUsed/>
    <w:rsid w:val="00481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6D"/>
  </w:style>
  <w:style w:type="paragraph" w:customStyle="1" w:styleId="ecxmsonormal">
    <w:name w:val="ecxmsonormal"/>
    <w:basedOn w:val="Normal"/>
    <w:rsid w:val="0077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1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26F"/>
    <w:rPr>
      <w:b/>
      <w:bCs/>
      <w:sz w:val="20"/>
      <w:szCs w:val="20"/>
    </w:rPr>
  </w:style>
  <w:style w:type="paragraph" w:styleId="NoSpacing">
    <w:name w:val="No Spacing"/>
    <w:uiPriority w:val="1"/>
    <w:qFormat/>
    <w:rsid w:val="00F34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DCDB8400FE4C5E9A219C3F1611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D26CB-F4F8-4E15-9420-81D8F4BD6C14}"/>
      </w:docPartPr>
      <w:docPartBody>
        <w:p w:rsidR="00000000" w:rsidRDefault="00025467" w:rsidP="00025467">
          <w:pPr>
            <w:pStyle w:val="09DCDB8400FE4C5E9A219C3F16118F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67"/>
    <w:rsid w:val="00025467"/>
    <w:rsid w:val="00B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CDB8400FE4C5E9A219C3F16118FD2">
    <w:name w:val="09DCDB8400FE4C5E9A219C3F16118FD2"/>
    <w:rsid w:val="000254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CDB8400FE4C5E9A219C3F16118FD2">
    <w:name w:val="09DCDB8400FE4C5E9A219C3F16118FD2"/>
    <w:rsid w:val="00025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6EFB-0C2F-4DA0-A7A1-0A211956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Version 4  9th October 2012</vt:lpstr>
    </vt:vector>
  </TitlesOfParts>
  <Company>Toshiba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DWECH Expanded Settings FINAL REPORT Appendix 1</dc:title>
  <dc:creator>judy Nichols</dc:creator>
  <cp:lastModifiedBy>judy Nichols </cp:lastModifiedBy>
  <cp:revision>3</cp:revision>
  <dcterms:created xsi:type="dcterms:W3CDTF">2013-12-04T00:34:00Z</dcterms:created>
  <dcterms:modified xsi:type="dcterms:W3CDTF">2013-12-04T00:34:00Z</dcterms:modified>
</cp:coreProperties>
</file>