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7F377D" w:rsidP="000C7BCB">
            <w:pPr>
              <w:pStyle w:val="Bannertablecell"/>
            </w:pPr>
            <w:r>
              <w:rPr>
                <w:noProof/>
                <w:lang w:eastAsia="en-AU"/>
              </w:rPr>
              <mc:AlternateContent>
                <mc:Choice Requires="wps">
                  <w:drawing>
                    <wp:anchor distT="0" distB="0" distL="114300" distR="114300" simplePos="0" relativeHeight="251657728" behindDoc="0" locked="0" layoutInCell="1" allowOverlap="1" wp14:anchorId="5A8CED80" wp14:editId="6B8027C8">
                      <wp:simplePos x="0" y="0"/>
                      <wp:positionH relativeFrom="page">
                        <wp:posOffset>720090</wp:posOffset>
                      </wp:positionH>
                      <wp:positionV relativeFrom="page">
                        <wp:posOffset>1744345</wp:posOffset>
                      </wp:positionV>
                      <wp:extent cx="4319905" cy="288290"/>
                      <wp:effectExtent l="0" t="0" r="4445" b="165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7F377D" w:rsidP="000C7BCB">
                                  <w:pPr>
                                    <w:pStyle w:val="Healthmainsubheading"/>
                                  </w:pPr>
                                  <w:r>
                                    <w:t>Case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7.35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C5sAIAAKo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S68gy9TsHrvgc/M8I+tNmlqvs7WX7TSMh1Q8WO3Sglh4bRCuiFtrD+k6u2&#10;ITrVFmQ7fJQVxKF7Ix3QWKvO1g6qgQAd2vR4ao3lUsImeRcmSbDAqISzKI6jxJHzaTrf7pU275ns&#10;kDUyrKD1Dp0e7rSxbGg6u9hgQha8bV37W/FsAxynHYgNV+2ZZeG6+TMJkk28iYlHouXGI0GeezfF&#10;mnjLIrxc5O/y9ToPf9m4IUkbXlVM2DCzskLyZ507anzSxElbWra8snCWkla77bpV6EBB2YX7XM3h&#10;5OzmP6fhigC5vEgpjEhwGyVesYwvPVKQhZdcBrEXhMltsgxIQvLieUp3XLB/TwkNGU4W0WIS05n0&#10;i9wC973OjaYdNzA7Wt5lOD450dRKcCMq11pDeTvZT0ph6Z9LAe2eG+0EazU6qdWM2xFQrHC3snoE&#10;6SoJygJ9wsADo5HqB0YDDI8M6+97qhhG7QcB8reTZjbUbGxng4oSrmbYYDSZazNNpH2v+K4B5OmB&#10;CXkDT6TmTr1nFseHBQPBJXEcXnbiPP13XucRu/oNAAD//wMAUEsDBBQABgAIAAAAIQAgF7+t4QAA&#10;AAsBAAAPAAAAZHJzL2Rvd25yZXYueG1sTI/LTsMwEEX3SPyDNZXYUedRNTSNU1UIVkiINCxYOrGb&#10;WI3HIXbb8PcMq7Kbqzm6c6bYzXZgFz1541BAvIyAaWydMtgJ+KxfH5+A+SBRycGhFvCjPezK+7tC&#10;5spdsdKXQ+gYlaDPpYA+hDHn3Le9ttIv3aiRdkc3WRkoTh1Xk7xSuR14EkVrbqVButDLUT/3uj0d&#10;zlbA/gurF/P93nxUx8rU9SbCt/VJiIfFvN8CC3oONxj+9EkdSnJq3BmVZwPlOF0RKiDJVhkwIrJN&#10;SkMjIE2iGHhZ8P8/lL8AAAD//wMAUEsBAi0AFAAGAAgAAAAhALaDOJL+AAAA4QEAABMAAAAAAAAA&#10;AAAAAAAAAAAAAFtDb250ZW50X1R5cGVzXS54bWxQSwECLQAUAAYACAAAACEAOP0h/9YAAACUAQAA&#10;CwAAAAAAAAAAAAAAAAAvAQAAX3JlbHMvLnJlbHNQSwECLQAUAAYACAAAACEAlo5QubACAACqBQAA&#10;DgAAAAAAAAAAAAAAAAAuAgAAZHJzL2Uyb0RvYy54bWxQSwECLQAUAAYACAAAACEAIBe/reEAAAAL&#10;AQAADwAAAAAAAAAAAAAAAAAKBQAAZHJzL2Rvd25yZXYueG1sUEsFBgAAAAAEAAQA8wAAABgGAAAA&#10;AA==&#10;" filled="f" stroked="f">
                      <v:textbox inset="0,0,0,0">
                        <w:txbxContent>
                          <w:p w:rsidR="000C7BCB" w:rsidRPr="0041787B" w:rsidRDefault="007F377D" w:rsidP="000C7BCB">
                            <w:pPr>
                              <w:pStyle w:val="Healthmainsubheading"/>
                            </w:pPr>
                            <w:r>
                              <w:t>Case study</w:t>
                            </w:r>
                          </w:p>
                        </w:txbxContent>
                      </v:textbox>
                      <w10:wrap anchorx="page" anchory="page"/>
                    </v:shape>
                  </w:pict>
                </mc:Fallback>
              </mc:AlternateContent>
            </w:r>
            <w:r w:rsidR="005E5C9E">
              <w:rPr>
                <w:noProof/>
                <w:lang w:eastAsia="en-AU"/>
              </w:rPr>
              <mc:AlternateContent>
                <mc:Choice Requires="wps">
                  <w:drawing>
                    <wp:anchor distT="0" distB="0" distL="114300" distR="114300" simplePos="0" relativeHeight="251656704" behindDoc="0" locked="0" layoutInCell="1" allowOverlap="1" wp14:anchorId="148583B7" wp14:editId="611ABF7F">
                      <wp:simplePos x="0" y="0"/>
                      <wp:positionH relativeFrom="page">
                        <wp:posOffset>720090</wp:posOffset>
                      </wp:positionH>
                      <wp:positionV relativeFrom="page">
                        <wp:posOffset>828040</wp:posOffset>
                      </wp:positionV>
                      <wp:extent cx="4319905" cy="685800"/>
                      <wp:effectExtent l="0" t="0" r="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7F377D" w:rsidP="000C7BCB">
                                  <w:pPr>
                                    <w:pStyle w:val="Healthmainheading"/>
                                  </w:pPr>
                                  <w:r>
                                    <w:t>Expanded Settings for Clinical Placement</w:t>
                                  </w:r>
                                  <w:r w:rsidR="00A57534">
                                    <w:t>s</w:t>
                                  </w:r>
                                  <w:r>
                                    <w:t xml:space="preserv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8mswIAALA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3OMBGmhRY90MOhODiix1ek7nYLTQwduZoBt6LLLVHf3svyukZCrhogtvVVK9g0lFbAL7U3/xdUR&#10;R1uQTf9JVhCG7Ix0QEOtWls6KAYCdOjS07EzlkoJm9FlmCQBUCzhbBHP48C1zifpdLtT2nygskXW&#10;yLCCzjt0sr/XxrIh6eRigwlZMM5d97k42wDHcQdiw1V7Zlm4Zj4nQbKO13HkRbPF2ouCPPdui1Xk&#10;LYrwap5f5qtVHv6yccMobVhVUWHDTMIKoz9r3EHioySO0tKSs8rCWUpabTcrrtCegLAL97maw8nJ&#10;zT+n4YoAubxKKZxFwd0s8YpFfOVFRTT3kqsg9oIwuUsWQZREeXGe0j0T9N9TQn2Gk/lsPorpRPpV&#10;boH73uZG0pYZGB2ctRkGOcBnnUhqJbgWlbMNYXy0X5TC0j+VAto9NdoJ1mp0VKsZNoN7GU7NVswb&#10;WT2BgpUEgYFMYeyB0Uj1E6MeRkiG9Y8dURQj/lHAK7DzZjLUZGwmg4gSrmbYYDSaKzPOpV2n2LYB&#10;5PGdCXkLL6VmTsQnFof3BWPB5XIYYXbuvPx3XqdBu/wNAAD//wMAUEsDBBQABgAIAAAAIQAw8SRM&#10;4AAAAAsBAAAPAAAAZHJzL2Rvd25yZXYueG1sTI/NTsMwEITvSLyDtUjcqN2m6k+IU1UITkiINBw4&#10;OvE2iRqvQ+y24e1ZTnCb0X6ancl2k+vFBcfQedIwnykQSLW3HTUaPsqXhw2IEA1Z03tCDd8YYJff&#10;3mQmtf5KBV4OsREcQiE1GtoYh1TKULfoTJj5AYlvRz86E9mOjbSjuXK46+VCqZV0piP+0JoBn1qs&#10;T4ez07D/pOK5+3qr3otj0ZXlVtHr6qT1/d20fwQRcYp/MPzW5+qQc6fKn8kG0bOfJ0tGWSSKBRPr&#10;bbIGUWlYJJslyDyT/zfkPwAAAP//AwBQSwECLQAUAAYACAAAACEAtoM4kv4AAADhAQAAEwAAAAAA&#10;AAAAAAAAAAAAAAAAW0NvbnRlbnRfVHlwZXNdLnhtbFBLAQItABQABgAIAAAAIQA4/SH/1gAAAJQB&#10;AAALAAAAAAAAAAAAAAAAAC8BAABfcmVscy8ucmVsc1BLAQItABQABgAIAAAAIQCmjU8mswIAALAF&#10;AAAOAAAAAAAAAAAAAAAAAC4CAABkcnMvZTJvRG9jLnhtbFBLAQItABQABgAIAAAAIQAw8SRM4AAA&#10;AAsBAAAPAAAAAAAAAAAAAAAAAA0FAABkcnMvZG93bnJldi54bWxQSwUGAAAAAAQABADzAAAAGgYA&#10;AAAA&#10;" filled="f" stroked="f">
                      <v:textbox inset="0,0,0,0">
                        <w:txbxContent>
                          <w:p w:rsidR="000C7BCB" w:rsidRPr="0041787B" w:rsidRDefault="007F377D" w:rsidP="000C7BCB">
                            <w:pPr>
                              <w:pStyle w:val="Healthmainheading"/>
                            </w:pPr>
                            <w:r>
                              <w:t>Expanded Settings for Clinical Placement</w:t>
                            </w:r>
                            <w:r w:rsidR="00A57534">
                              <w:t>s</w:t>
                            </w:r>
                            <w:r>
                              <w:t xml:space="preserve"> Program</w:t>
                            </w:r>
                          </w:p>
                        </w:txbxContent>
                      </v:textbox>
                      <w10:wrap anchorx="page" anchory="page"/>
                    </v:shape>
                  </w:pict>
                </mc:Fallback>
              </mc:AlternateContent>
            </w:r>
            <w:r w:rsidR="005E5C9E">
              <w:rPr>
                <w:noProof/>
                <w:szCs w:val="20"/>
                <w:lang w:eastAsia="en-AU"/>
              </w:rPr>
              <w:drawing>
                <wp:anchor distT="0" distB="0" distL="114300" distR="114300" simplePos="0" relativeHeight="251658752" behindDoc="0" locked="1" layoutInCell="1" allowOverlap="1" wp14:anchorId="5A3157EE" wp14:editId="32073BC6">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C9E">
              <w:rPr>
                <w:noProof/>
                <w:lang w:eastAsia="en-AU"/>
              </w:rPr>
              <w:drawing>
                <wp:inline distT="0" distB="0" distL="0" distR="0">
                  <wp:extent cx="7553325" cy="2057400"/>
                  <wp:effectExtent l="0" t="0" r="9525" b="0"/>
                  <wp:docPr id="3"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Default="000C7BCB" w:rsidP="002B5D2D">
      <w:pPr>
        <w:pStyle w:val="Healthbody"/>
      </w:pPr>
    </w:p>
    <w:p w:rsidR="000C7BCB" w:rsidRDefault="000C7BCB" w:rsidP="002B5D2D">
      <w:pPr>
        <w:pStyle w:val="Healthbody"/>
        <w:sectPr w:rsidR="000C7BCB" w:rsidSect="000C7BCB">
          <w:footerReference w:type="default" r:id="rId10"/>
          <w:type w:val="continuous"/>
          <w:pgSz w:w="11899" w:h="16838"/>
          <w:pgMar w:top="0" w:right="851" w:bottom="2155" w:left="1134" w:header="0" w:footer="567" w:gutter="0"/>
          <w:cols w:space="708"/>
        </w:sectPr>
      </w:pPr>
    </w:p>
    <w:p w:rsidR="007F377D" w:rsidRPr="007F377D" w:rsidRDefault="007F377D" w:rsidP="007F377D">
      <w:pPr>
        <w:pStyle w:val="Healthheading1"/>
        <w:spacing w:before="600"/>
        <w:rPr>
          <w:lang w:eastAsia="en-AU"/>
        </w:rPr>
      </w:pPr>
      <w:r w:rsidRPr="007F377D">
        <w:rPr>
          <w:lang w:eastAsia="en-AU"/>
        </w:rPr>
        <w:lastRenderedPageBreak/>
        <w:t xml:space="preserve">Introducing clinical placements for undergraduate students in </w:t>
      </w:r>
      <w:r>
        <w:rPr>
          <w:lang w:eastAsia="en-AU"/>
        </w:rPr>
        <w:t>A</w:t>
      </w:r>
      <w:r w:rsidRPr="007F377D">
        <w:rPr>
          <w:lang w:eastAsia="en-AU"/>
        </w:rPr>
        <w:t>boriginal</w:t>
      </w:r>
      <w:r>
        <w:rPr>
          <w:lang w:eastAsia="en-AU"/>
        </w:rPr>
        <w:t>,</w:t>
      </w:r>
      <w:r w:rsidRPr="007F377D">
        <w:rPr>
          <w:lang w:eastAsia="en-AU"/>
        </w:rPr>
        <w:t xml:space="preserve"> general practice and community settings</w:t>
      </w:r>
    </w:p>
    <w:p w:rsidR="000C7BCB" w:rsidRPr="004E0550" w:rsidRDefault="007F377D" w:rsidP="007F377D">
      <w:pPr>
        <w:pStyle w:val="Healthheading2"/>
        <w:spacing w:before="480"/>
      </w:pPr>
      <w:r>
        <w:t>Project summary</w:t>
      </w:r>
    </w:p>
    <w:p w:rsidR="004553AC" w:rsidRPr="004553AC" w:rsidRDefault="004553AC" w:rsidP="004553AC">
      <w:pPr>
        <w:pStyle w:val="Healthbody"/>
      </w:pPr>
      <w:r w:rsidRPr="004553AC">
        <w:t xml:space="preserve">This project introduced an additional </w:t>
      </w:r>
      <w:r w:rsidR="006E1F99">
        <w:t>35 (356 clinical days) under</w:t>
      </w:r>
      <w:r w:rsidRPr="004553AC">
        <w:t xml:space="preserve">graduate nurses, allied health and medical students to Dhauwurd Wurrung Elderly </w:t>
      </w:r>
      <w:r w:rsidR="00877A8C">
        <w:t>and</w:t>
      </w:r>
      <w:r w:rsidRPr="004553AC">
        <w:t xml:space="preserve"> Community Health Service (DWECH) settings in partnership with mainstream health services, a GP Super Clinic and a retail pharmacy outlet.</w:t>
      </w:r>
    </w:p>
    <w:p w:rsidR="004553AC" w:rsidRPr="004553AC" w:rsidRDefault="004553AC" w:rsidP="004553AC">
      <w:pPr>
        <w:pStyle w:val="Healthbody"/>
      </w:pPr>
      <w:r w:rsidRPr="004553AC">
        <w:t>Culturally safe support resources were developed to support clinical placements including manuals to support students, clinical supervision and community orientation kits.</w:t>
      </w:r>
      <w:r w:rsidR="00877A8C">
        <w:t xml:space="preserve"> </w:t>
      </w:r>
      <w:r w:rsidRPr="004553AC">
        <w:t>A low fidelity primary health care laboratory, student library and five student studio apartments were also developed to support the delivery of quality placements at DWECH.</w:t>
      </w:r>
    </w:p>
    <w:p w:rsidR="004553AC" w:rsidRPr="004553AC" w:rsidRDefault="004553AC" w:rsidP="004553AC">
      <w:pPr>
        <w:pStyle w:val="Healthheading2"/>
      </w:pPr>
      <w:r w:rsidRPr="004553AC">
        <w:t>Drivers and challenges</w:t>
      </w:r>
    </w:p>
    <w:p w:rsidR="004553AC" w:rsidRPr="004553AC" w:rsidRDefault="004553AC" w:rsidP="004553AC">
      <w:pPr>
        <w:pStyle w:val="Healthbody"/>
      </w:pPr>
      <w:r w:rsidRPr="004553AC">
        <w:t xml:space="preserve">Dhauwurd Wurrung Elderly </w:t>
      </w:r>
      <w:r w:rsidR="00877A8C">
        <w:t>and</w:t>
      </w:r>
      <w:r w:rsidRPr="004553AC">
        <w:t xml:space="preserve"> Community Health Service is an Aboriginal Community Controlled Health Service located in Portland, in the far south west of Victoria. Like many other small rural health services, its solo capacity to host students is small especially for allied health practitioners where these s</w:t>
      </w:r>
      <w:r w:rsidR="006E1F99">
        <w:t>ervices are delivered on a part-</w:t>
      </w:r>
      <w:r w:rsidRPr="004553AC">
        <w:t>time basis and therefore not providing</w:t>
      </w:r>
      <w:r w:rsidR="00877A8C">
        <w:t xml:space="preserve"> </w:t>
      </w:r>
      <w:r w:rsidRPr="004553AC">
        <w:t xml:space="preserve">adequate student supervision. </w:t>
      </w:r>
    </w:p>
    <w:p w:rsidR="004553AC" w:rsidRPr="004553AC" w:rsidRDefault="004553AC" w:rsidP="004553AC">
      <w:pPr>
        <w:pStyle w:val="Healthbody"/>
      </w:pPr>
      <w:r w:rsidRPr="004553AC">
        <w:t xml:space="preserve">In 2011, DWECH hosted </w:t>
      </w:r>
      <w:r w:rsidR="006E1F99">
        <w:t>six</w:t>
      </w:r>
      <w:r w:rsidRPr="004553AC">
        <w:t xml:space="preserve"> </w:t>
      </w:r>
      <w:r w:rsidR="006E1F99">
        <w:t>graduate n</w:t>
      </w:r>
      <w:r w:rsidRPr="004553AC">
        <w:t xml:space="preserve">urses for </w:t>
      </w:r>
      <w:r w:rsidR="006E1F99">
        <w:t>thirty</w:t>
      </w:r>
      <w:r w:rsidRPr="004553AC">
        <w:t xml:space="preserve"> clinical days in partnership with Portland District Health</w:t>
      </w:r>
      <w:r w:rsidR="006E1F99">
        <w:t xml:space="preserve"> (PDH)</w:t>
      </w:r>
      <w:r w:rsidRPr="004553AC">
        <w:t>, however recogni</w:t>
      </w:r>
      <w:r w:rsidR="00B22AFE">
        <w:t>s</w:t>
      </w:r>
      <w:r w:rsidRPr="004553AC">
        <w:t xml:space="preserve">ed this capacity could be expanded in both numbers and disciplines. DWECH provides a range of health and community programs to the community. It also has an Aboriginal </w:t>
      </w:r>
      <w:r w:rsidR="006E1F99">
        <w:t>health clinic supported by a general practitioner, practice nurse and manager, Aboriginal h</w:t>
      </w:r>
      <w:r w:rsidRPr="004553AC">
        <w:t xml:space="preserve">ealth workers, mainstream staff servicing the Aboriginal community and partnerships with other services including a range of allied health services and visiting services from the Great South Coast Medicare Local and private providers. </w:t>
      </w:r>
    </w:p>
    <w:p w:rsidR="004553AC" w:rsidRPr="004553AC" w:rsidRDefault="004553AC" w:rsidP="004553AC">
      <w:pPr>
        <w:pStyle w:val="Healthheading2"/>
      </w:pPr>
      <w:r>
        <w:t>Arriving at a solution</w:t>
      </w:r>
    </w:p>
    <w:p w:rsidR="004553AC" w:rsidRPr="004553AC" w:rsidRDefault="004553AC" w:rsidP="004553AC">
      <w:pPr>
        <w:pStyle w:val="Healthbody"/>
      </w:pPr>
      <w:r w:rsidRPr="004553AC">
        <w:t xml:space="preserve">The main dilemma for DWECH was its capacity to host new disciplines on a fulltime basis given many allied health and visiting services were only part time, it is from this point that the DWECH </w:t>
      </w:r>
      <w:r w:rsidR="006E1F99">
        <w:t>c</w:t>
      </w:r>
      <w:r w:rsidRPr="004553AC">
        <w:t xml:space="preserve">linical </w:t>
      </w:r>
      <w:r w:rsidR="006E1F99">
        <w:t>p</w:t>
      </w:r>
      <w:r w:rsidRPr="004553AC">
        <w:t xml:space="preserve">lacement </w:t>
      </w:r>
      <w:r w:rsidR="006E1F99">
        <w:t>p</w:t>
      </w:r>
      <w:r w:rsidRPr="004553AC">
        <w:t xml:space="preserve">artnership </w:t>
      </w:r>
      <w:r w:rsidR="006E1F99">
        <w:t>m</w:t>
      </w:r>
      <w:r w:rsidRPr="004553AC">
        <w:t>odel developed to increase both capacity and quality of placements</w:t>
      </w:r>
    </w:p>
    <w:p w:rsidR="004553AC" w:rsidRPr="004553AC" w:rsidRDefault="004553AC" w:rsidP="004553AC">
      <w:pPr>
        <w:pStyle w:val="Healthbody"/>
      </w:pPr>
      <w:r w:rsidRPr="004553AC">
        <w:t>When the partner</w:t>
      </w:r>
      <w:r w:rsidR="00877A8C">
        <w:t>ship model was being considered</w:t>
      </w:r>
      <w:r w:rsidRPr="004553AC">
        <w:t>, DWECH was conducting a successful Closing the Gap project focusing on improving access to culturally secure health services across the municipalities of Glenelg and Southern Grampians. This project developed a specific change management effort at PD</w:t>
      </w:r>
      <w:r w:rsidR="006E1F99">
        <w:t>H</w:t>
      </w:r>
      <w:r w:rsidRPr="004553AC">
        <w:t xml:space="preserve">. The association </w:t>
      </w:r>
      <w:r w:rsidRPr="004553AC">
        <w:lastRenderedPageBreak/>
        <w:t xml:space="preserve">between DWECH and PDH was strengthening and so DWECH initiated the discussion about the feasibility of a </w:t>
      </w:r>
      <w:r w:rsidR="006E1F99">
        <w:t>c</w:t>
      </w:r>
      <w:r w:rsidRPr="004553AC">
        <w:t xml:space="preserve">linical </w:t>
      </w:r>
      <w:r w:rsidR="006E1F99">
        <w:t>p</w:t>
      </w:r>
      <w:r w:rsidRPr="004553AC">
        <w:t xml:space="preserve">lacement </w:t>
      </w:r>
      <w:r w:rsidR="006E1F99">
        <w:t>p</w:t>
      </w:r>
      <w:r w:rsidRPr="004553AC">
        <w:t xml:space="preserve">artnership </w:t>
      </w:r>
      <w:r w:rsidR="006E1F99">
        <w:t>m</w:t>
      </w:r>
      <w:r w:rsidRPr="004553AC">
        <w:t xml:space="preserve">odel where students were shared across organisations and where all students could have access to cultural safety training. </w:t>
      </w:r>
    </w:p>
    <w:p w:rsidR="004553AC" w:rsidRPr="004553AC" w:rsidRDefault="004553AC" w:rsidP="004553AC">
      <w:pPr>
        <w:pStyle w:val="Healthbody"/>
      </w:pPr>
      <w:r w:rsidRPr="004553AC">
        <w:t>The existing PD</w:t>
      </w:r>
      <w:r>
        <w:t>H Clinical Placement Student Coordinator recognis</w:t>
      </w:r>
      <w:r w:rsidRPr="004553AC">
        <w:t>ed the barrier to DWECH student capacity was shared with other smaller local health facilities and from here the partnership developed.</w:t>
      </w:r>
    </w:p>
    <w:p w:rsidR="007F377D" w:rsidRDefault="004553AC" w:rsidP="004553AC">
      <w:pPr>
        <w:pStyle w:val="Healthheading2"/>
      </w:pPr>
      <w:r w:rsidRPr="004553AC">
        <w:t>Implementation process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415"/>
        <w:gridCol w:w="2414"/>
        <w:gridCol w:w="5233"/>
      </w:tblGrid>
      <w:tr w:rsidR="004F6330" w:rsidRPr="004F6330" w:rsidTr="004F6330">
        <w:tc>
          <w:tcPr>
            <w:tcW w:w="2415" w:type="dxa"/>
            <w:shd w:val="clear" w:color="auto" w:fill="0073CF"/>
          </w:tcPr>
          <w:p w:rsidR="004F6330" w:rsidRPr="004F6330" w:rsidRDefault="004F6330" w:rsidP="004F6330">
            <w:pPr>
              <w:pStyle w:val="Healthtablecolumnhead"/>
            </w:pPr>
            <w:r>
              <w:t>Key a</w:t>
            </w:r>
            <w:r w:rsidRPr="004F6330">
              <w:t xml:space="preserve">ctivities </w:t>
            </w:r>
          </w:p>
        </w:tc>
        <w:tc>
          <w:tcPr>
            <w:tcW w:w="2415" w:type="dxa"/>
            <w:shd w:val="clear" w:color="auto" w:fill="0073CF"/>
          </w:tcPr>
          <w:p w:rsidR="004F6330" w:rsidRPr="004F6330" w:rsidRDefault="004F6330" w:rsidP="004F6330">
            <w:pPr>
              <w:pStyle w:val="Healthtablecolumnhead"/>
            </w:pPr>
            <w:r w:rsidRPr="004F6330">
              <w:t>Evaluation approach</w:t>
            </w:r>
          </w:p>
        </w:tc>
        <w:tc>
          <w:tcPr>
            <w:tcW w:w="5235" w:type="dxa"/>
            <w:shd w:val="clear" w:color="auto" w:fill="0073CF"/>
          </w:tcPr>
          <w:p w:rsidR="004F6330" w:rsidRPr="004F6330" w:rsidRDefault="004F6330" w:rsidP="004F6330">
            <w:pPr>
              <w:pStyle w:val="Healthtablecolumnhead"/>
            </w:pPr>
            <w:r w:rsidRPr="004F6330">
              <w:t>Tools and resources developed</w:t>
            </w:r>
          </w:p>
        </w:tc>
      </w:tr>
      <w:tr w:rsidR="004F6330" w:rsidRPr="004F6330" w:rsidTr="004F6330">
        <w:tc>
          <w:tcPr>
            <w:tcW w:w="2415" w:type="dxa"/>
            <w:shd w:val="clear" w:color="auto" w:fill="auto"/>
          </w:tcPr>
          <w:p w:rsidR="004F6330" w:rsidRPr="004F6330" w:rsidRDefault="004F6330" w:rsidP="006E1F99">
            <w:pPr>
              <w:pStyle w:val="Healthtablebody"/>
            </w:pPr>
            <w:r w:rsidRPr="004F6330">
              <w:t xml:space="preserve">Partnership </w:t>
            </w:r>
            <w:r w:rsidR="006E1F99">
              <w:t>m</w:t>
            </w:r>
            <w:r w:rsidRPr="004F6330">
              <w:t xml:space="preserve">odel across DWECH, </w:t>
            </w:r>
            <w:r w:rsidR="006E1F99">
              <w:t>PDH</w:t>
            </w:r>
            <w:r w:rsidRPr="004F6330">
              <w:t xml:space="preserve"> and Super Clinic</w:t>
            </w:r>
          </w:p>
        </w:tc>
        <w:tc>
          <w:tcPr>
            <w:tcW w:w="2415" w:type="dxa"/>
            <w:vMerge w:val="restart"/>
            <w:shd w:val="clear" w:color="auto" w:fill="auto"/>
          </w:tcPr>
          <w:p w:rsidR="004F6330" w:rsidRPr="004F6330" w:rsidRDefault="004F6330" w:rsidP="004F6330">
            <w:pPr>
              <w:pStyle w:val="Healthtablebody"/>
            </w:pPr>
            <w:r>
              <w:t>Survey Monkey post-p</w:t>
            </w:r>
            <w:r w:rsidRPr="004F6330">
              <w:t xml:space="preserve">lacement </w:t>
            </w:r>
            <w:r>
              <w:t>q</w:t>
            </w:r>
            <w:r w:rsidRPr="004F6330">
              <w:t xml:space="preserve">uestionnaire </w:t>
            </w:r>
          </w:p>
        </w:tc>
        <w:tc>
          <w:tcPr>
            <w:tcW w:w="5235" w:type="dxa"/>
            <w:shd w:val="clear" w:color="auto" w:fill="auto"/>
          </w:tcPr>
          <w:p w:rsidR="004F6330" w:rsidRPr="004F6330" w:rsidRDefault="004F6330" w:rsidP="004F6330">
            <w:pPr>
              <w:pStyle w:val="Healthtablebody"/>
            </w:pPr>
            <w:r w:rsidRPr="004F6330">
              <w:t>Roles and responsibi</w:t>
            </w:r>
            <w:r w:rsidR="006E1F99">
              <w:t>lities for Student Placement Co</w:t>
            </w:r>
            <w:r w:rsidRPr="004F6330">
              <w:t>ordinator, One CP roster across CP settings / Common establishment checklist /</w:t>
            </w:r>
            <w:r w:rsidR="006E1F99">
              <w:t xml:space="preserve"> </w:t>
            </w:r>
            <w:r w:rsidRPr="004F6330">
              <w:t xml:space="preserve">Common safety checklist </w:t>
            </w:r>
          </w:p>
        </w:tc>
      </w:tr>
      <w:tr w:rsidR="004F6330" w:rsidRPr="004F6330" w:rsidTr="004F6330">
        <w:tc>
          <w:tcPr>
            <w:tcW w:w="2415" w:type="dxa"/>
            <w:shd w:val="clear" w:color="auto" w:fill="auto"/>
          </w:tcPr>
          <w:p w:rsidR="004F6330" w:rsidRPr="004F6330" w:rsidRDefault="004F6330" w:rsidP="006E1F99">
            <w:pPr>
              <w:pStyle w:val="Healthtablebody"/>
            </w:pPr>
            <w:r w:rsidRPr="004F6330">
              <w:t xml:space="preserve">Provide </w:t>
            </w:r>
            <w:r w:rsidR="006E1F99">
              <w:t>B</w:t>
            </w:r>
            <w:r w:rsidRPr="004F6330">
              <w:t xml:space="preserve">est </w:t>
            </w:r>
            <w:r w:rsidR="006E1F99">
              <w:t>P</w:t>
            </w:r>
            <w:r w:rsidRPr="004F6330">
              <w:t>ractice clinical placement for 23 students from allied health, nursing and medicine each year providing 455 clinical days</w:t>
            </w:r>
          </w:p>
        </w:tc>
        <w:tc>
          <w:tcPr>
            <w:tcW w:w="2415" w:type="dxa"/>
            <w:vMerge/>
            <w:shd w:val="clear" w:color="auto" w:fill="auto"/>
          </w:tcPr>
          <w:p w:rsidR="004F6330" w:rsidRPr="004F6330" w:rsidRDefault="004F6330" w:rsidP="004F6330">
            <w:pPr>
              <w:pStyle w:val="Healthtablebody"/>
            </w:pPr>
          </w:p>
        </w:tc>
        <w:tc>
          <w:tcPr>
            <w:tcW w:w="5235" w:type="dxa"/>
            <w:shd w:val="clear" w:color="auto" w:fill="auto"/>
          </w:tcPr>
          <w:p w:rsidR="004F6330" w:rsidRPr="004F6330" w:rsidRDefault="006E1F99" w:rsidP="004F6330">
            <w:pPr>
              <w:pStyle w:val="Healthtablebody"/>
            </w:pPr>
            <w:r>
              <w:t>Student Handbooks</w:t>
            </w:r>
            <w:r w:rsidR="004F6330" w:rsidRPr="004F6330">
              <w:t xml:space="preserve"> for three settings </w:t>
            </w:r>
          </w:p>
          <w:p w:rsidR="004F6330" w:rsidRPr="004F6330" w:rsidRDefault="004F6330" w:rsidP="004F6330">
            <w:pPr>
              <w:pStyle w:val="Healthtablebody"/>
            </w:pPr>
            <w:r w:rsidRPr="004F6330">
              <w:t>Including organisational history, relevant polici</w:t>
            </w:r>
            <w:r w:rsidR="006E1F99">
              <w:t>es, safety checklist as well as:</w:t>
            </w:r>
          </w:p>
          <w:p w:rsidR="004F6330" w:rsidRPr="004F6330" w:rsidRDefault="004F6330" w:rsidP="004F6330">
            <w:pPr>
              <w:pStyle w:val="Healthtablebody"/>
            </w:pPr>
            <w:r w:rsidRPr="004F6330">
              <w:t xml:space="preserve">Useful tips – Developing </w:t>
            </w:r>
            <w:r w:rsidR="006E1F99">
              <w:t>l</w:t>
            </w:r>
            <w:r w:rsidRPr="004F6330">
              <w:t xml:space="preserve">earning </w:t>
            </w:r>
            <w:r w:rsidR="006E1F99">
              <w:t>g</w:t>
            </w:r>
            <w:r w:rsidRPr="004F6330">
              <w:t>oals</w:t>
            </w:r>
          </w:p>
          <w:p w:rsidR="004F6330" w:rsidRPr="004F6330" w:rsidRDefault="004F6330" w:rsidP="004F6330">
            <w:pPr>
              <w:pStyle w:val="Healthtablebody"/>
            </w:pPr>
            <w:r w:rsidRPr="004F6330">
              <w:t>Useful tips –</w:t>
            </w:r>
            <w:r w:rsidR="006E1F99">
              <w:t xml:space="preserve"> </w:t>
            </w:r>
            <w:r w:rsidRPr="004F6330">
              <w:t xml:space="preserve">Questioning for </w:t>
            </w:r>
            <w:r w:rsidR="006E1F99">
              <w:t>s</w:t>
            </w:r>
            <w:r w:rsidRPr="004F6330">
              <w:t xml:space="preserve">tudent </w:t>
            </w:r>
            <w:r w:rsidR="006E1F99">
              <w:t>a</w:t>
            </w:r>
            <w:r w:rsidRPr="004F6330">
              <w:t xml:space="preserve">ssessment </w:t>
            </w:r>
          </w:p>
          <w:p w:rsidR="004F6330" w:rsidRPr="004F6330" w:rsidRDefault="004F6330" w:rsidP="004F6330">
            <w:pPr>
              <w:pStyle w:val="Healthtablebody"/>
            </w:pPr>
            <w:r w:rsidRPr="004F6330">
              <w:t xml:space="preserve">Useful tips – Student </w:t>
            </w:r>
            <w:r w:rsidR="006E1F99">
              <w:t>a</w:t>
            </w:r>
            <w:r w:rsidRPr="004F6330">
              <w:t>ssessment</w:t>
            </w:r>
          </w:p>
          <w:p w:rsidR="004F6330" w:rsidRPr="004F6330" w:rsidRDefault="004F6330" w:rsidP="004F6330">
            <w:pPr>
              <w:pStyle w:val="Healthtablebody"/>
            </w:pPr>
            <w:r w:rsidRPr="004F6330">
              <w:t xml:space="preserve">Receiving </w:t>
            </w:r>
            <w:r w:rsidR="006E1F99">
              <w:t>f</w:t>
            </w:r>
            <w:r w:rsidRPr="004F6330">
              <w:t xml:space="preserve">eedback from your </w:t>
            </w:r>
            <w:r w:rsidR="006E1F99">
              <w:t>c</w:t>
            </w:r>
            <w:r w:rsidRPr="004F6330">
              <w:t xml:space="preserve">linical </w:t>
            </w:r>
            <w:r w:rsidR="006E1F99">
              <w:t>s</w:t>
            </w:r>
            <w:r w:rsidRPr="004F6330">
              <w:t>upervisor</w:t>
            </w:r>
          </w:p>
          <w:p w:rsidR="006E1F99" w:rsidRPr="004F6330" w:rsidRDefault="006E1F99" w:rsidP="004F6330">
            <w:pPr>
              <w:pStyle w:val="Healthtablebody"/>
            </w:pPr>
            <w:r>
              <w:t>Community Orientation Kits for Portland and Heywood:</w:t>
            </w:r>
          </w:p>
          <w:p w:rsidR="004F6330" w:rsidRPr="004F6330" w:rsidRDefault="004F6330" w:rsidP="004F6330">
            <w:pPr>
              <w:pStyle w:val="Healthtablebody"/>
            </w:pPr>
            <w:r w:rsidRPr="004F6330">
              <w:t>8 Kits developed and distributed across settings</w:t>
            </w:r>
          </w:p>
          <w:p w:rsidR="006E1F99" w:rsidRPr="004F6330" w:rsidRDefault="006E1F99" w:rsidP="004F6330">
            <w:pPr>
              <w:pStyle w:val="Healthtablebody"/>
            </w:pPr>
            <w:r>
              <w:t>Clinical Supervision Handbook:</w:t>
            </w:r>
          </w:p>
          <w:p w:rsidR="004F6330" w:rsidRPr="004F6330" w:rsidRDefault="004F6330" w:rsidP="004F6330">
            <w:pPr>
              <w:pStyle w:val="Healthtablebody"/>
            </w:pPr>
            <w:r w:rsidRPr="004F6330">
              <w:t xml:space="preserve">One handbook was developed for all settings </w:t>
            </w:r>
          </w:p>
        </w:tc>
      </w:tr>
      <w:tr w:rsidR="004F6330" w:rsidRPr="004F6330" w:rsidTr="004F6330">
        <w:tc>
          <w:tcPr>
            <w:tcW w:w="2415" w:type="dxa"/>
            <w:shd w:val="clear" w:color="auto" w:fill="auto"/>
          </w:tcPr>
          <w:p w:rsidR="004F6330" w:rsidRPr="004F6330" w:rsidRDefault="004F6330" w:rsidP="006E1F99">
            <w:pPr>
              <w:pStyle w:val="Healthtablebody"/>
            </w:pPr>
            <w:r w:rsidRPr="004F6330">
              <w:t xml:space="preserve">Develop Aboriginal Cultural </w:t>
            </w:r>
            <w:r w:rsidR="006E1F99">
              <w:t>s</w:t>
            </w:r>
            <w:r w:rsidRPr="004F6330">
              <w:t xml:space="preserve">afety </w:t>
            </w:r>
            <w:r w:rsidR="006E1F99">
              <w:t>t</w:t>
            </w:r>
            <w:r w:rsidRPr="004F6330">
              <w:t xml:space="preserve">raining </w:t>
            </w:r>
            <w:r w:rsidR="006E1F99">
              <w:t>e</w:t>
            </w:r>
            <w:r w:rsidRPr="004F6330">
              <w:t xml:space="preserve">ducation </w:t>
            </w:r>
            <w:r w:rsidR="006E1F99">
              <w:t>m</w:t>
            </w:r>
            <w:r w:rsidRPr="004F6330">
              <w:t xml:space="preserve">aterials for students </w:t>
            </w:r>
          </w:p>
        </w:tc>
        <w:tc>
          <w:tcPr>
            <w:tcW w:w="2415" w:type="dxa"/>
            <w:vMerge/>
            <w:shd w:val="clear" w:color="auto" w:fill="auto"/>
          </w:tcPr>
          <w:p w:rsidR="004F6330" w:rsidRPr="004F6330" w:rsidRDefault="004F6330" w:rsidP="004F6330">
            <w:pPr>
              <w:pStyle w:val="Healthtablebody"/>
            </w:pPr>
          </w:p>
        </w:tc>
        <w:tc>
          <w:tcPr>
            <w:tcW w:w="5235" w:type="dxa"/>
            <w:shd w:val="clear" w:color="auto" w:fill="auto"/>
          </w:tcPr>
          <w:p w:rsidR="004F6330" w:rsidRPr="004F6330" w:rsidRDefault="004F6330" w:rsidP="004F6330">
            <w:pPr>
              <w:pStyle w:val="Healthtablebody"/>
            </w:pPr>
            <w:r w:rsidRPr="004F6330">
              <w:t>Cultural awareness safety student education materials</w:t>
            </w:r>
            <w:r w:rsidR="006E1F99">
              <w:t xml:space="preserve"> </w:t>
            </w:r>
            <w:r w:rsidRPr="004F6330">
              <w:t>93% of students participated in cultural safety trai</w:t>
            </w:r>
            <w:r w:rsidR="00877A8C">
              <w:t>ning with 73% being satisfied (</w:t>
            </w:r>
            <w:r w:rsidRPr="004F6330">
              <w:t>48% very satisfied)</w:t>
            </w:r>
            <w:r w:rsidR="006E1F99">
              <w:t>.</w:t>
            </w:r>
            <w:r w:rsidRPr="004F6330">
              <w:t xml:space="preserve"> Comments included:</w:t>
            </w:r>
          </w:p>
          <w:p w:rsidR="004F6330" w:rsidRPr="004F6330" w:rsidRDefault="004F6330" w:rsidP="004F6330">
            <w:pPr>
              <w:pStyle w:val="Healthtablebody"/>
            </w:pPr>
            <w:r>
              <w:t>“</w:t>
            </w:r>
            <w:r w:rsidRPr="004F6330">
              <w:t>I enjoyed the time at DWECH and would encourage all students to participate in attending there. Very educational and a terrific learning experience” to “Very, very boring. Largely a repetition of what we had learned repeatedly in class”</w:t>
            </w:r>
          </w:p>
          <w:p w:rsidR="004F6330" w:rsidRPr="004F6330" w:rsidRDefault="004F6330" w:rsidP="004F6330">
            <w:pPr>
              <w:pStyle w:val="Healthtablebody"/>
            </w:pPr>
            <w:r w:rsidRPr="004F6330">
              <w:t>It was an oversight of the project team to consult with the education provider regarding the cultural safety training previously received in their undergraduate course</w:t>
            </w:r>
          </w:p>
        </w:tc>
      </w:tr>
      <w:tr w:rsidR="004F6330" w:rsidRPr="004F6330" w:rsidTr="004F6330">
        <w:tc>
          <w:tcPr>
            <w:tcW w:w="2415" w:type="dxa"/>
            <w:shd w:val="clear" w:color="auto" w:fill="auto"/>
          </w:tcPr>
          <w:p w:rsidR="004F6330" w:rsidRPr="004F6330" w:rsidRDefault="004F6330" w:rsidP="006E1F99">
            <w:pPr>
              <w:pStyle w:val="Healthtablebody"/>
            </w:pPr>
            <w:r w:rsidRPr="004F6330">
              <w:t xml:space="preserve">Establish a partnership for pharmacy student clinical placement across DWECH, the Pharmacy Guild of Victoria, Portland Guardian Pharmacy and </w:t>
            </w:r>
            <w:r w:rsidR="006E1F99">
              <w:t>PDH.</w:t>
            </w:r>
          </w:p>
        </w:tc>
        <w:tc>
          <w:tcPr>
            <w:tcW w:w="2415" w:type="dxa"/>
            <w:shd w:val="clear" w:color="auto" w:fill="auto"/>
          </w:tcPr>
          <w:p w:rsidR="004F6330" w:rsidRPr="004F6330" w:rsidRDefault="004F6330" w:rsidP="004F6330">
            <w:pPr>
              <w:pStyle w:val="Healthtablebody"/>
            </w:pPr>
          </w:p>
        </w:tc>
        <w:tc>
          <w:tcPr>
            <w:tcW w:w="5235" w:type="dxa"/>
            <w:shd w:val="clear" w:color="auto" w:fill="auto"/>
          </w:tcPr>
          <w:p w:rsidR="004F6330" w:rsidRPr="004F6330" w:rsidRDefault="004F6330" w:rsidP="004F6330">
            <w:pPr>
              <w:pStyle w:val="Healthtablebody"/>
            </w:pPr>
            <w:r w:rsidRPr="004F6330">
              <w:t>The project did not establish a partnership however the Guild supported the introduction of pharmacy students within an ACCHO environment.</w:t>
            </w:r>
          </w:p>
          <w:p w:rsidR="004F6330" w:rsidRPr="004F6330" w:rsidRDefault="004F6330" w:rsidP="004F6330">
            <w:pPr>
              <w:pStyle w:val="Healthtablebody"/>
            </w:pPr>
            <w:r w:rsidRPr="004F6330">
              <w:t>During the project, 10 pharmacy students were placed for 145 clinical days. The placement of pharmacy students across three settings</w:t>
            </w:r>
            <w:r w:rsidR="00877A8C">
              <w:t xml:space="preserve"> (</w:t>
            </w:r>
            <w:r w:rsidRPr="004F6330">
              <w:t>DWECH; PDH and the Guardian pharmacy) was very successful and this can be attributed to the contact between t</w:t>
            </w:r>
            <w:r w:rsidR="00877A8C">
              <w:t>he Monash University Student Co</w:t>
            </w:r>
            <w:r w:rsidRPr="004F6330">
              <w:t xml:space="preserve">ordinator and the settings. </w:t>
            </w:r>
          </w:p>
          <w:p w:rsidR="004F6330" w:rsidRPr="004F6330" w:rsidRDefault="004F6330" w:rsidP="004F6330">
            <w:pPr>
              <w:pStyle w:val="Healthtablebody"/>
            </w:pPr>
            <w:r w:rsidRPr="004F6330">
              <w:t>Monash remain keen to place students across settings in 2014</w:t>
            </w:r>
          </w:p>
        </w:tc>
      </w:tr>
    </w:tbl>
    <w:p w:rsidR="004553AC" w:rsidRDefault="004553AC" w:rsidP="004553AC">
      <w:pPr>
        <w:pStyle w:val="Healthbody"/>
      </w:pPr>
    </w:p>
    <w:p w:rsidR="004F6330" w:rsidRDefault="004F6330">
      <w:pPr>
        <w:spacing w:after="0" w:line="240" w:lineRule="auto"/>
        <w:ind w:firstLine="0"/>
        <w:rPr>
          <w:sz w:val="20"/>
          <w:szCs w:val="24"/>
        </w:rPr>
      </w:pPr>
      <w:r>
        <w:br w:type="page"/>
      </w:r>
    </w:p>
    <w:p w:rsidR="004F6330" w:rsidRPr="004F6330" w:rsidRDefault="004F6330" w:rsidP="004F6330">
      <w:pPr>
        <w:pStyle w:val="Healthheading2"/>
      </w:pPr>
      <w:r w:rsidRPr="004F6330">
        <w:lastRenderedPageBreak/>
        <w:t>Outcomes</w:t>
      </w:r>
    </w:p>
    <w:p w:rsidR="004F6330" w:rsidRPr="004F6330" w:rsidRDefault="004F6330" w:rsidP="004F6330">
      <w:pPr>
        <w:pStyle w:val="Healthheading3"/>
      </w:pPr>
      <w:r w:rsidRPr="004F6330">
        <w:t xml:space="preserve">Clinical </w:t>
      </w:r>
      <w:r>
        <w:t>placement co</w:t>
      </w:r>
      <w:r w:rsidRPr="004F6330">
        <w:t xml:space="preserve">ordination </w:t>
      </w:r>
      <w:r>
        <w:t>model</w:t>
      </w:r>
    </w:p>
    <w:p w:rsidR="004F6330" w:rsidRPr="004F6330" w:rsidRDefault="004F6330" w:rsidP="004F6330">
      <w:pPr>
        <w:pStyle w:val="Healthbody"/>
      </w:pPr>
      <w:r w:rsidRPr="004F6330">
        <w:t>Co-ordination of clinical placement planning, expanded clinical placement capacity by 35 students / 356 clinical days, relationships with education providers, student checklists, clinical supervision handbook common across settings; community orientation resources; student handbooks; interdisciplinary cultural safety training materials and delivery</w:t>
      </w:r>
    </w:p>
    <w:p w:rsidR="004F6330" w:rsidRPr="004F6330" w:rsidRDefault="004F6330" w:rsidP="004F6330">
      <w:pPr>
        <w:pStyle w:val="Healthheading3"/>
      </w:pPr>
      <w:r>
        <w:t>DWECH i</w:t>
      </w:r>
      <w:r w:rsidRPr="004F6330">
        <w:t>nfrastructure</w:t>
      </w:r>
    </w:p>
    <w:p w:rsidR="004F6330" w:rsidRPr="004F6330" w:rsidRDefault="004F6330" w:rsidP="004F6330">
      <w:pPr>
        <w:pStyle w:val="Healthbody"/>
      </w:pPr>
      <w:r w:rsidRPr="004F6330">
        <w:t>Refurbishment of five aged care units into contemporary student apartments; refurbishment of DWECH facility to provider for a training room, student and student liaison officer st</w:t>
      </w:r>
      <w:r w:rsidR="006E1F99">
        <w:t>udy rooms, meeting room and low-</w:t>
      </w:r>
      <w:r w:rsidRPr="004F6330">
        <w:t>fidelity primary health care laboratory.</w:t>
      </w:r>
    </w:p>
    <w:p w:rsidR="004F6330" w:rsidRPr="004F6330" w:rsidRDefault="004F6330" w:rsidP="004F6330">
      <w:pPr>
        <w:pStyle w:val="Healthheading2"/>
      </w:pPr>
      <w:r w:rsidRPr="004F6330">
        <w:t>Evaluation</w:t>
      </w:r>
    </w:p>
    <w:p w:rsidR="004F6330" w:rsidRPr="004F6330" w:rsidRDefault="004F6330" w:rsidP="004F6330">
      <w:pPr>
        <w:pStyle w:val="Healthbody"/>
      </w:pPr>
      <w:r>
        <w:t>Post-placement questionnaire (</w:t>
      </w:r>
      <w:r w:rsidRPr="004F6330">
        <w:t>77% response rate), in summary: The majority of students were either very satisfied or</w:t>
      </w:r>
      <w:r>
        <w:t xml:space="preserve"> satisfied with their placement</w:t>
      </w:r>
      <w:r w:rsidRPr="004F6330">
        <w:t xml:space="preserve"> with areas for improvement</w:t>
      </w:r>
      <w:r w:rsidR="00877A8C">
        <w:t xml:space="preserve"> </w:t>
      </w:r>
      <w:r w:rsidRPr="004F6330">
        <w:t>needed in all domains including: orientation, access to clinical educators, feeling valued; communication with education providers; communication to facilitate clinical learning and teaching; feedback from clinical educators; cultural safety training</w:t>
      </w:r>
      <w:r w:rsidR="00877A8C">
        <w:t xml:space="preserve"> </w:t>
      </w:r>
      <w:r w:rsidRPr="004F6330">
        <w:t>and access to the internet and other learning resources.</w:t>
      </w:r>
    </w:p>
    <w:p w:rsidR="004F6330" w:rsidRPr="004F6330" w:rsidRDefault="004F6330" w:rsidP="004F6330">
      <w:pPr>
        <w:pStyle w:val="Healthheading2"/>
      </w:pPr>
      <w:r w:rsidRPr="004F6330">
        <w:t>Limita</w:t>
      </w:r>
      <w:r>
        <w:t>tions and management strategies</w:t>
      </w:r>
    </w:p>
    <w:p w:rsidR="004F6330" w:rsidRPr="004F6330" w:rsidRDefault="006E1F99" w:rsidP="004F6330">
      <w:pPr>
        <w:pStyle w:val="Healthbody"/>
      </w:pPr>
      <w:r>
        <w:t>Winda-</w:t>
      </w:r>
      <w:r w:rsidR="004F6330" w:rsidRPr="004F6330">
        <w:t>Mara did not place any students. The reasons for</w:t>
      </w:r>
      <w:r w:rsidR="00723C50">
        <w:t xml:space="preserve"> this can be attributed to: 1. r</w:t>
      </w:r>
      <w:r w:rsidR="004F6330" w:rsidRPr="004F6330">
        <w:t>eadiness to host students in partnership with others</w:t>
      </w:r>
      <w:r w:rsidR="00723C50">
        <w:t>;</w:t>
      </w:r>
      <w:r>
        <w:t xml:space="preserve"> and</w:t>
      </w:r>
      <w:r w:rsidR="004F6330" w:rsidRPr="004F6330">
        <w:t xml:space="preserve"> 2. </w:t>
      </w:r>
      <w:r w:rsidR="00723C50">
        <w:t>c</w:t>
      </w:r>
      <w:r w:rsidR="004F6330" w:rsidRPr="004F6330">
        <w:t xml:space="preserve">apacity to host students at the time, given their difficulty recruiting a </w:t>
      </w:r>
      <w:r w:rsidR="004F6330">
        <w:t>p</w:t>
      </w:r>
      <w:r w:rsidR="004F6330" w:rsidRPr="004F6330">
        <w:t xml:space="preserve">ractice </w:t>
      </w:r>
      <w:r w:rsidR="004F6330">
        <w:t>m</w:t>
      </w:r>
      <w:r w:rsidR="004F6330" w:rsidRPr="004F6330">
        <w:t xml:space="preserve">anager and </w:t>
      </w:r>
      <w:r w:rsidR="004F6330">
        <w:t>r</w:t>
      </w:r>
      <w:r w:rsidR="004F6330" w:rsidRPr="004F6330">
        <w:t xml:space="preserve">egistered </w:t>
      </w:r>
      <w:r w:rsidR="004F6330">
        <w:t>n</w:t>
      </w:r>
      <w:r w:rsidR="004F6330" w:rsidRPr="004F6330">
        <w:t>urse. These roles provide clinical supervision for the students and without these roles filled, students could not be placed.</w:t>
      </w:r>
    </w:p>
    <w:p w:rsidR="004F6330" w:rsidRPr="004F6330" w:rsidRDefault="004F6330" w:rsidP="004F6330">
      <w:pPr>
        <w:pStyle w:val="Healthbody"/>
      </w:pPr>
      <w:r w:rsidRPr="004F6330">
        <w:t xml:space="preserve">DWECH Aboriginal </w:t>
      </w:r>
      <w:r w:rsidR="006E1F99">
        <w:t>h</w:t>
      </w:r>
      <w:r w:rsidRPr="004F6330">
        <w:t xml:space="preserve">ealth </w:t>
      </w:r>
      <w:r w:rsidR="006E1F99">
        <w:t>w</w:t>
      </w:r>
      <w:r w:rsidRPr="004F6330">
        <w:t xml:space="preserve">orkers were challenged working with students because of the </w:t>
      </w:r>
      <w:r>
        <w:t>gap in educational attainment (</w:t>
      </w:r>
      <w:r w:rsidRPr="004F6330">
        <w:t>Cert</w:t>
      </w:r>
      <w:r w:rsidR="00723C50">
        <w:t>ificate IV verses</w:t>
      </w:r>
      <w:r w:rsidRPr="004F6330">
        <w:t xml:space="preserve"> Bachelor Degree) and being challenged by their capacity to express cultural safety and security issues within the context of the health service and their daily work. To manage these gaps, </w:t>
      </w:r>
      <w:r w:rsidR="00723C50">
        <w:t>five</w:t>
      </w:r>
      <w:r w:rsidRPr="004F6330">
        <w:t xml:space="preserve"> student activities were developed focused on: Aboriginal Health; Closing the Gap; Best Practice in Self Identification; Cultural Respect and Communication and Quality Use of Medicines. Students were able to complete these activities and review their work with DWECH staff.</w:t>
      </w:r>
    </w:p>
    <w:p w:rsidR="004F6330" w:rsidRPr="004F6330" w:rsidRDefault="004F6330" w:rsidP="004F6330">
      <w:pPr>
        <w:pStyle w:val="Healthbody"/>
      </w:pPr>
      <w:r w:rsidRPr="004F6330">
        <w:t>The project incurred unexpected cost</w:t>
      </w:r>
      <w:r w:rsidR="00723C50">
        <w:t>s for the Clinical Placement Co</w:t>
      </w:r>
      <w:r w:rsidRPr="004F6330">
        <w:t xml:space="preserve">ordinator time purchased from </w:t>
      </w:r>
      <w:proofErr w:type="gramStart"/>
      <w:r w:rsidR="00723C50">
        <w:t>PDH</w:t>
      </w:r>
      <w:r w:rsidRPr="004F6330">
        <w:t>,</w:t>
      </w:r>
      <w:proofErr w:type="gramEnd"/>
      <w:r w:rsidRPr="004F6330">
        <w:t xml:space="preserve"> the management strategy was to r</w:t>
      </w:r>
      <w:r w:rsidR="00723C50">
        <w:t>educe the EFT of the Project Co</w:t>
      </w:r>
      <w:r w:rsidRPr="004F6330">
        <w:t>ordinator. DWECH facility refurbishment also incurred unexpected costs to meet OH</w:t>
      </w:r>
      <w:r w:rsidR="00723C50">
        <w:t>&amp;</w:t>
      </w:r>
      <w:r w:rsidRPr="004F6330">
        <w:t xml:space="preserve">S standards and unexpected building </w:t>
      </w:r>
      <w:proofErr w:type="gramStart"/>
      <w:r w:rsidRPr="004F6330">
        <w:t>costs,</w:t>
      </w:r>
      <w:proofErr w:type="gramEnd"/>
      <w:r w:rsidRPr="004F6330">
        <w:t xml:space="preserve"> the DWECH capital budget was accessed to address the budget shortfall.</w:t>
      </w:r>
    </w:p>
    <w:p w:rsidR="004F6330" w:rsidRPr="004F6330" w:rsidRDefault="004F6330" w:rsidP="004F6330">
      <w:pPr>
        <w:pStyle w:val="Healthheading2"/>
      </w:pPr>
      <w:r>
        <w:t>Future d</w:t>
      </w:r>
      <w:r w:rsidRPr="004F6330">
        <w:t>ir</w:t>
      </w:r>
      <w:r>
        <w:t>ections</w:t>
      </w:r>
    </w:p>
    <w:p w:rsidR="004F6330" w:rsidRPr="004F6330" w:rsidRDefault="004F6330" w:rsidP="004F6330">
      <w:pPr>
        <w:pStyle w:val="Healthbody"/>
      </w:pPr>
      <w:r w:rsidRPr="004F6330">
        <w:t>Without continuing funding to support the Cl</w:t>
      </w:r>
      <w:r w:rsidR="00723C50">
        <w:t>inical Placement Partnership Co</w:t>
      </w:r>
      <w:r w:rsidRPr="004F6330">
        <w:t>ordinator at 0.2 EFT</w:t>
      </w:r>
      <w:r w:rsidR="00723C50">
        <w:t>,</w:t>
      </w:r>
      <w:r w:rsidRPr="004F6330">
        <w:t xml:space="preserve"> the project partnership has disbanded. However, partners remain collegiate in their approach for student placements as this project has enabled increased the numbers of students placed. </w:t>
      </w:r>
    </w:p>
    <w:p w:rsidR="004F6330" w:rsidRPr="004F6330" w:rsidRDefault="004F6330" w:rsidP="004F6330">
      <w:pPr>
        <w:pStyle w:val="Healthbody"/>
      </w:pPr>
      <w:r w:rsidRPr="004F6330">
        <w:t>The organisational capacity across the partnership</w:t>
      </w:r>
      <w:r w:rsidR="00877A8C">
        <w:t xml:space="preserve"> </w:t>
      </w:r>
      <w:r w:rsidR="00723C50">
        <w:t>to co</w:t>
      </w:r>
      <w:r w:rsidRPr="004F6330">
        <w:t>ordinate the placements is the problem simply due to financial constraints and the recognition o</w:t>
      </w:r>
      <w:r w:rsidR="00723C50">
        <w:t>f the additional time burden co</w:t>
      </w:r>
      <w:r w:rsidRPr="004F6330">
        <w:t>ordination of students across pl</w:t>
      </w:r>
      <w:r w:rsidR="00723C50">
        <w:t>acements has on staff.</w:t>
      </w:r>
    </w:p>
    <w:p w:rsidR="004F6330" w:rsidRPr="004F6330" w:rsidRDefault="004F6330" w:rsidP="004F6330">
      <w:pPr>
        <w:pStyle w:val="Healthbody"/>
      </w:pPr>
      <w:r w:rsidRPr="004F6330">
        <w:t>Nevertheless, the partnership will continue to seek funding to build on the achievements of this project and expand capacity and quality of clinical placement opportunities in our rural setting including Aboriginal Community Controlled Health Services.</w:t>
      </w:r>
      <w:bookmarkStart w:id="0" w:name="_GoBack"/>
      <w:bookmarkEnd w:id="0"/>
    </w:p>
    <w:p w:rsidR="004F6330" w:rsidRPr="004F6330" w:rsidRDefault="004F6330" w:rsidP="004F6330">
      <w:pPr>
        <w:pStyle w:val="Healthheading2"/>
      </w:pPr>
      <w:r>
        <w:lastRenderedPageBreak/>
        <w:t>Further information</w:t>
      </w:r>
    </w:p>
    <w:p w:rsidR="004F6330" w:rsidRPr="004F6330" w:rsidRDefault="004F6330" w:rsidP="004F6330">
      <w:pPr>
        <w:pStyle w:val="Healthbody"/>
        <w:rPr>
          <w:b/>
        </w:rPr>
      </w:pPr>
      <w:proofErr w:type="spellStart"/>
      <w:r w:rsidRPr="004F6330">
        <w:rPr>
          <w:b/>
        </w:rPr>
        <w:t>Ros</w:t>
      </w:r>
      <w:proofErr w:type="spellEnd"/>
      <w:r w:rsidRPr="004F6330">
        <w:rPr>
          <w:b/>
        </w:rPr>
        <w:t xml:space="preserve"> Alexander</w:t>
      </w:r>
    </w:p>
    <w:p w:rsidR="004F6330" w:rsidRPr="004F6330" w:rsidRDefault="004F6330" w:rsidP="004F6330">
      <w:pPr>
        <w:pStyle w:val="Healthbody"/>
      </w:pPr>
      <w:r w:rsidRPr="004F6330">
        <w:t xml:space="preserve">CEO, Dhauwurd Wurrung Elderly </w:t>
      </w:r>
      <w:r w:rsidR="00877A8C">
        <w:t>and</w:t>
      </w:r>
      <w:r w:rsidRPr="004F6330">
        <w:t xml:space="preserve"> Community Health Service, Portland</w:t>
      </w:r>
    </w:p>
    <w:p w:rsidR="004F6330" w:rsidRPr="004F6330" w:rsidRDefault="004F6330" w:rsidP="004F6330">
      <w:pPr>
        <w:pStyle w:val="Healthbody"/>
      </w:pPr>
      <w:r w:rsidRPr="004F6330">
        <w:t>Telephone: 03 5521 7535</w:t>
      </w:r>
    </w:p>
    <w:p w:rsidR="004F6330" w:rsidRPr="004F6330" w:rsidRDefault="004F6330" w:rsidP="004F6330">
      <w:pPr>
        <w:pStyle w:val="Healthbody"/>
      </w:pPr>
      <w:r w:rsidRPr="004F6330">
        <w:t xml:space="preserve">Email: </w:t>
      </w:r>
      <w:hyperlink r:id="rId11" w:history="1">
        <w:r w:rsidR="00D319B2" w:rsidRPr="001129C1">
          <w:rPr>
            <w:rStyle w:val="Hyperlink"/>
          </w:rPr>
          <w:t>ceo@dwech.com.au</w:t>
        </w:r>
      </w:hyperlink>
    </w:p>
    <w:sectPr w:rsidR="004F6330" w:rsidRPr="004F6330" w:rsidSect="000C7BCB">
      <w:headerReference w:type="default" r:id="rId12"/>
      <w:footerReference w:type="default" r:id="rId13"/>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0E" w:rsidRDefault="00D3670E">
      <w:r>
        <w:separator/>
      </w:r>
    </w:p>
  </w:endnote>
  <w:endnote w:type="continuationSeparator" w:id="0">
    <w:p w:rsidR="00D3670E" w:rsidRDefault="00D3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0D3B7B" w:rsidRDefault="005E5C9E" w:rsidP="00B4363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BCB" w:rsidRPr="000D3B7B">
      <w:rPr>
        <w:sz w:val="24"/>
      </w:rPr>
      <w:tab/>
    </w:r>
    <w:r w:rsidR="000C7BCB"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B43637" w:rsidRDefault="000C7BCB" w:rsidP="00B43637">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723C50">
      <w:rPr>
        <w:rStyle w:val="PageNumber"/>
        <w:noProof/>
      </w:rPr>
      <w:t>4</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0E" w:rsidRDefault="00D3670E">
      <w:r>
        <w:separator/>
      </w:r>
    </w:p>
  </w:footnote>
  <w:footnote w:type="continuationSeparator" w:id="0">
    <w:p w:rsidR="00D3670E" w:rsidRDefault="00D36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Default="000C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67A7EF3"/>
    <w:multiLevelType w:val="hybridMultilevel"/>
    <w:tmpl w:val="A374384A"/>
    <w:lvl w:ilvl="0" w:tplc="0C09000F">
      <w:start w:val="1"/>
      <w:numFmt w:val="decimal"/>
      <w:lvlText w:val="%1."/>
      <w:lvlJc w:val="left"/>
      <w:pPr>
        <w:tabs>
          <w:tab w:val="num" w:pos="720"/>
        </w:tabs>
        <w:ind w:left="720" w:hanging="360"/>
      </w:p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CBD4D0B"/>
    <w:multiLevelType w:val="hybridMultilevel"/>
    <w:tmpl w:val="97C61408"/>
    <w:lvl w:ilvl="0" w:tplc="FC5849DA">
      <w:start w:val="1"/>
      <w:numFmt w:val="decimal"/>
      <w:pStyle w:val="Heading1"/>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9"/>
  </w:num>
  <w:num w:numId="5">
    <w:abstractNumId w:val="2"/>
  </w:num>
  <w:num w:numId="6">
    <w:abstractNumId w:val="7"/>
  </w:num>
  <w:num w:numId="7">
    <w:abstractNumId w:val="5"/>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9E"/>
    <w:rsid w:val="000C7BCB"/>
    <w:rsid w:val="004553AC"/>
    <w:rsid w:val="004F6330"/>
    <w:rsid w:val="005C3C7E"/>
    <w:rsid w:val="005E5C9E"/>
    <w:rsid w:val="006E1F99"/>
    <w:rsid w:val="00723C50"/>
    <w:rsid w:val="007F377D"/>
    <w:rsid w:val="00872B74"/>
    <w:rsid w:val="00877A8C"/>
    <w:rsid w:val="00A57534"/>
    <w:rsid w:val="00B22AFE"/>
    <w:rsid w:val="00D319B2"/>
    <w:rsid w:val="00D3670E"/>
    <w:rsid w:val="00DB0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AC"/>
    <w:pPr>
      <w:spacing w:after="120" w:line="270" w:lineRule="atLeast"/>
      <w:ind w:firstLine="284"/>
    </w:pPr>
    <w:rPr>
      <w:rFonts w:ascii="Arial" w:eastAsia="MS Mincho" w:hAnsi="Arial"/>
      <w:sz w:val="22"/>
      <w:szCs w:val="22"/>
      <w:lang w:eastAsia="en-US"/>
    </w:rPr>
  </w:style>
  <w:style w:type="paragraph" w:styleId="Heading1">
    <w:name w:val="heading 1"/>
    <w:basedOn w:val="Normal"/>
    <w:next w:val="Normal"/>
    <w:link w:val="Heading1Char"/>
    <w:uiPriority w:val="9"/>
    <w:qFormat/>
    <w:rsid w:val="004553AC"/>
    <w:pPr>
      <w:numPr>
        <w:numId w:val="9"/>
      </w:numP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link w:val="HealthbodyChar"/>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BalloonText">
    <w:name w:val="Balloon Text"/>
    <w:basedOn w:val="Normal"/>
    <w:link w:val="BalloonTextChar"/>
    <w:uiPriority w:val="99"/>
    <w:semiHidden/>
    <w:unhideWhenUsed/>
    <w:rsid w:val="007F377D"/>
    <w:rPr>
      <w:rFonts w:ascii="Tahoma" w:hAnsi="Tahoma" w:cs="Tahoma"/>
      <w:sz w:val="16"/>
      <w:szCs w:val="16"/>
    </w:rPr>
  </w:style>
  <w:style w:type="character" w:customStyle="1" w:styleId="BalloonTextChar">
    <w:name w:val="Balloon Text Char"/>
    <w:basedOn w:val="DefaultParagraphFont"/>
    <w:link w:val="BalloonText"/>
    <w:uiPriority w:val="99"/>
    <w:semiHidden/>
    <w:rsid w:val="007F377D"/>
    <w:rPr>
      <w:rFonts w:ascii="Tahoma" w:eastAsia="Cambria" w:hAnsi="Tahoma" w:cs="Tahoma"/>
      <w:sz w:val="16"/>
      <w:szCs w:val="16"/>
      <w:lang w:val="en-US" w:eastAsia="en-US"/>
    </w:rPr>
  </w:style>
  <w:style w:type="character" w:customStyle="1" w:styleId="Heading1Char">
    <w:name w:val="Heading 1 Char"/>
    <w:basedOn w:val="DefaultParagraphFont"/>
    <w:link w:val="Heading1"/>
    <w:uiPriority w:val="9"/>
    <w:rsid w:val="004553AC"/>
    <w:rPr>
      <w:rFonts w:ascii="Arial" w:eastAsia="MS Mincho" w:hAnsi="Arial"/>
      <w:b/>
      <w:sz w:val="24"/>
      <w:szCs w:val="24"/>
      <w:lang w:eastAsia="en-US"/>
    </w:rPr>
  </w:style>
  <w:style w:type="character" w:customStyle="1" w:styleId="HealthbodyChar">
    <w:name w:val="Health body Char"/>
    <w:link w:val="Healthbody"/>
    <w:locked/>
    <w:rsid w:val="004553AC"/>
    <w:rPr>
      <w:rFonts w:ascii="Arial" w:eastAsia="MS Mincho" w:hAnsi="Arial"/>
      <w:szCs w:val="24"/>
      <w:lang w:eastAsia="en-US"/>
    </w:rPr>
  </w:style>
  <w:style w:type="paragraph" w:styleId="NoSpacing">
    <w:name w:val="No Spacing"/>
    <w:link w:val="NoSpacingChar"/>
    <w:uiPriority w:val="1"/>
    <w:qFormat/>
    <w:rsid w:val="004F6330"/>
    <w:pPr>
      <w:ind w:left="426"/>
    </w:pPr>
    <w:rPr>
      <w:rFonts w:ascii="Arial" w:eastAsia="Cambria" w:hAnsi="Arial" w:cs="Arial"/>
      <w:sz w:val="22"/>
      <w:szCs w:val="22"/>
      <w:lang w:val="en-US" w:eastAsia="en-US"/>
    </w:rPr>
  </w:style>
  <w:style w:type="paragraph" w:styleId="ListParagraph">
    <w:name w:val="List Paragraph"/>
    <w:basedOn w:val="Normal"/>
    <w:uiPriority w:val="34"/>
    <w:qFormat/>
    <w:rsid w:val="004F6330"/>
    <w:pPr>
      <w:spacing w:after="0" w:line="240" w:lineRule="auto"/>
      <w:ind w:left="720" w:firstLine="0"/>
      <w:contextualSpacing/>
    </w:pPr>
    <w:rPr>
      <w:rFonts w:ascii="Calibri" w:eastAsia="Times New Roman" w:hAnsi="Calibri"/>
      <w:szCs w:val="24"/>
      <w:lang w:eastAsia="en-AU"/>
    </w:rPr>
  </w:style>
  <w:style w:type="character" w:customStyle="1" w:styleId="NoSpacingChar">
    <w:name w:val="No Spacing Char"/>
    <w:link w:val="NoSpacing"/>
    <w:uiPriority w:val="1"/>
    <w:rsid w:val="004F6330"/>
    <w:rPr>
      <w:rFonts w:ascii="Arial" w:eastAsia="Cambria" w:hAnsi="Arial" w:cs="Arial"/>
      <w:sz w:val="22"/>
      <w:szCs w:val="22"/>
      <w:lang w:val="en-US" w:eastAsia="en-US"/>
    </w:rPr>
  </w:style>
  <w:style w:type="character" w:styleId="Hyperlink">
    <w:name w:val="Hyperlink"/>
    <w:basedOn w:val="DefaultParagraphFont"/>
    <w:uiPriority w:val="99"/>
    <w:unhideWhenUsed/>
    <w:rsid w:val="00D319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AC"/>
    <w:pPr>
      <w:spacing w:after="120" w:line="270" w:lineRule="atLeast"/>
      <w:ind w:firstLine="284"/>
    </w:pPr>
    <w:rPr>
      <w:rFonts w:ascii="Arial" w:eastAsia="MS Mincho" w:hAnsi="Arial"/>
      <w:sz w:val="22"/>
      <w:szCs w:val="22"/>
      <w:lang w:eastAsia="en-US"/>
    </w:rPr>
  </w:style>
  <w:style w:type="paragraph" w:styleId="Heading1">
    <w:name w:val="heading 1"/>
    <w:basedOn w:val="Normal"/>
    <w:next w:val="Normal"/>
    <w:link w:val="Heading1Char"/>
    <w:uiPriority w:val="9"/>
    <w:qFormat/>
    <w:rsid w:val="004553AC"/>
    <w:pPr>
      <w:numPr>
        <w:numId w:val="9"/>
      </w:numP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link w:val="HealthbodyChar"/>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BalloonText">
    <w:name w:val="Balloon Text"/>
    <w:basedOn w:val="Normal"/>
    <w:link w:val="BalloonTextChar"/>
    <w:uiPriority w:val="99"/>
    <w:semiHidden/>
    <w:unhideWhenUsed/>
    <w:rsid w:val="007F377D"/>
    <w:rPr>
      <w:rFonts w:ascii="Tahoma" w:hAnsi="Tahoma" w:cs="Tahoma"/>
      <w:sz w:val="16"/>
      <w:szCs w:val="16"/>
    </w:rPr>
  </w:style>
  <w:style w:type="character" w:customStyle="1" w:styleId="BalloonTextChar">
    <w:name w:val="Balloon Text Char"/>
    <w:basedOn w:val="DefaultParagraphFont"/>
    <w:link w:val="BalloonText"/>
    <w:uiPriority w:val="99"/>
    <w:semiHidden/>
    <w:rsid w:val="007F377D"/>
    <w:rPr>
      <w:rFonts w:ascii="Tahoma" w:eastAsia="Cambria" w:hAnsi="Tahoma" w:cs="Tahoma"/>
      <w:sz w:val="16"/>
      <w:szCs w:val="16"/>
      <w:lang w:val="en-US" w:eastAsia="en-US"/>
    </w:rPr>
  </w:style>
  <w:style w:type="character" w:customStyle="1" w:styleId="Heading1Char">
    <w:name w:val="Heading 1 Char"/>
    <w:basedOn w:val="DefaultParagraphFont"/>
    <w:link w:val="Heading1"/>
    <w:uiPriority w:val="9"/>
    <w:rsid w:val="004553AC"/>
    <w:rPr>
      <w:rFonts w:ascii="Arial" w:eastAsia="MS Mincho" w:hAnsi="Arial"/>
      <w:b/>
      <w:sz w:val="24"/>
      <w:szCs w:val="24"/>
      <w:lang w:eastAsia="en-US"/>
    </w:rPr>
  </w:style>
  <w:style w:type="character" w:customStyle="1" w:styleId="HealthbodyChar">
    <w:name w:val="Health body Char"/>
    <w:link w:val="Healthbody"/>
    <w:locked/>
    <w:rsid w:val="004553AC"/>
    <w:rPr>
      <w:rFonts w:ascii="Arial" w:eastAsia="MS Mincho" w:hAnsi="Arial"/>
      <w:szCs w:val="24"/>
      <w:lang w:eastAsia="en-US"/>
    </w:rPr>
  </w:style>
  <w:style w:type="paragraph" w:styleId="NoSpacing">
    <w:name w:val="No Spacing"/>
    <w:link w:val="NoSpacingChar"/>
    <w:uiPriority w:val="1"/>
    <w:qFormat/>
    <w:rsid w:val="004F6330"/>
    <w:pPr>
      <w:ind w:left="426"/>
    </w:pPr>
    <w:rPr>
      <w:rFonts w:ascii="Arial" w:eastAsia="Cambria" w:hAnsi="Arial" w:cs="Arial"/>
      <w:sz w:val="22"/>
      <w:szCs w:val="22"/>
      <w:lang w:val="en-US" w:eastAsia="en-US"/>
    </w:rPr>
  </w:style>
  <w:style w:type="paragraph" w:styleId="ListParagraph">
    <w:name w:val="List Paragraph"/>
    <w:basedOn w:val="Normal"/>
    <w:uiPriority w:val="34"/>
    <w:qFormat/>
    <w:rsid w:val="004F6330"/>
    <w:pPr>
      <w:spacing w:after="0" w:line="240" w:lineRule="auto"/>
      <w:ind w:left="720" w:firstLine="0"/>
      <w:contextualSpacing/>
    </w:pPr>
    <w:rPr>
      <w:rFonts w:ascii="Calibri" w:eastAsia="Times New Roman" w:hAnsi="Calibri"/>
      <w:szCs w:val="24"/>
      <w:lang w:eastAsia="en-AU"/>
    </w:rPr>
  </w:style>
  <w:style w:type="character" w:customStyle="1" w:styleId="NoSpacingChar">
    <w:name w:val="No Spacing Char"/>
    <w:link w:val="NoSpacing"/>
    <w:uiPriority w:val="1"/>
    <w:rsid w:val="004F6330"/>
    <w:rPr>
      <w:rFonts w:ascii="Arial" w:eastAsia="Cambria" w:hAnsi="Arial" w:cs="Arial"/>
      <w:sz w:val="22"/>
      <w:szCs w:val="22"/>
      <w:lang w:val="en-US" w:eastAsia="en-US"/>
    </w:rPr>
  </w:style>
  <w:style w:type="character" w:styleId="Hyperlink">
    <w:name w:val="Hyperlink"/>
    <w:basedOn w:val="DefaultParagraphFont"/>
    <w:uiPriority w:val="99"/>
    <w:unhideWhenUsed/>
    <w:rsid w:val="00D31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42597">
      <w:bodyDiv w:val="1"/>
      <w:marLeft w:val="0"/>
      <w:marRight w:val="0"/>
      <w:marTop w:val="0"/>
      <w:marBottom w:val="0"/>
      <w:divBdr>
        <w:top w:val="none" w:sz="0" w:space="0" w:color="auto"/>
        <w:left w:val="none" w:sz="0" w:space="0" w:color="auto"/>
        <w:bottom w:val="none" w:sz="0" w:space="0" w:color="auto"/>
        <w:right w:val="none" w:sz="0" w:space="0" w:color="auto"/>
      </w:divBdr>
    </w:div>
    <w:div w:id="1411195905">
      <w:bodyDiv w:val="1"/>
      <w:marLeft w:val="0"/>
      <w:marRight w:val="0"/>
      <w:marTop w:val="0"/>
      <w:marBottom w:val="0"/>
      <w:divBdr>
        <w:top w:val="none" w:sz="0" w:space="0" w:color="auto"/>
        <w:left w:val="none" w:sz="0" w:space="0" w:color="auto"/>
        <w:bottom w:val="none" w:sz="0" w:space="0" w:color="auto"/>
        <w:right w:val="none" w:sz="0" w:space="0" w:color="auto"/>
      </w:divBdr>
    </w:div>
    <w:div w:id="16414976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o@dwech.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NHE\Clinical%20Placement%20Network\YB\viCPortal\VCP%20portrai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VCP portrait template</Template>
  <TotalTime>19</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Buffon</dc:creator>
  <cp:lastModifiedBy>Yvette Buffon</cp:lastModifiedBy>
  <cp:revision>10</cp:revision>
  <dcterms:created xsi:type="dcterms:W3CDTF">2014-03-27T03:33:00Z</dcterms:created>
  <dcterms:modified xsi:type="dcterms:W3CDTF">2014-03-28T02:55:00Z</dcterms:modified>
</cp:coreProperties>
</file>