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10" w:type="dxa"/>
        <w:tblInd w:w="-1134" w:type="dxa"/>
        <w:tblCellMar>
          <w:left w:w="0" w:type="dxa"/>
          <w:right w:w="0" w:type="dxa"/>
        </w:tblCellMar>
        <w:tblLook w:val="00BF"/>
      </w:tblPr>
      <w:tblGrid>
        <w:gridCol w:w="11940"/>
      </w:tblGrid>
      <w:tr w:rsidR="000C7BCB">
        <w:tc>
          <w:tcPr>
            <w:tcW w:w="11910" w:type="dxa"/>
          </w:tcPr>
          <w:p w:rsidR="000C7BCB" w:rsidRPr="00022B1B" w:rsidRDefault="0033421E" w:rsidP="000C7BCB">
            <w:pPr>
              <w:pStyle w:val="Bannertablecell"/>
            </w:pPr>
            <w:r>
              <w:rPr>
                <w:lang w:val="en-US"/>
              </w:rPr>
              <w:pict>
                <v:shapetype id="_x0000_t202" coordsize="21600,21600" o:spt="202" path="m,l,21600r21600,l21600,xe">
                  <v:stroke joinstyle="miter"/>
                  <v:path gradientshapeok="t" o:connecttype="rect"/>
                </v:shapetype>
                <v:shape id="_x0000_s1033" type="#_x0000_t202" style="position:absolute;margin-left:56.7pt;margin-top:65.2pt;width:340.15pt;height:54pt;z-index:251656704;mso-position-horizontal-relative:page;mso-position-vertical-relative:page" filled="f" stroked="f">
                  <v:textbox style="mso-next-textbox:#_x0000_s1033" inset="0,0,0,0">
                    <w:txbxContent>
                      <w:p w:rsidR="000C7BCB" w:rsidRPr="0041787B" w:rsidRDefault="00350B84" w:rsidP="000C7BCB">
                        <w:pPr>
                          <w:pStyle w:val="Healthmainheading"/>
                        </w:pPr>
                        <w:r>
                          <w:t>Rural Accommodation and Infrastructure</w:t>
                        </w:r>
                        <w:r w:rsidR="008C7122">
                          <w:t xml:space="preserve"> Program </w:t>
                        </w:r>
                      </w:p>
                    </w:txbxContent>
                  </v:textbox>
                  <w10:wrap anchorx="page" anchory="page"/>
                </v:shape>
              </w:pict>
            </w:r>
            <w:r w:rsidR="00C75093">
              <w:rPr>
                <w:noProof/>
                <w:szCs w:val="20"/>
                <w:lang w:val="en-US"/>
              </w:rPr>
              <w:drawing>
                <wp:anchor distT="0" distB="0" distL="114300" distR="114300" simplePos="0" relativeHeight="251658752" behindDoc="0" locked="1" layoutInCell="1" allowOverlap="1">
                  <wp:simplePos x="0" y="0"/>
                  <wp:positionH relativeFrom="page">
                    <wp:posOffset>720090</wp:posOffset>
                  </wp:positionH>
                  <wp:positionV relativeFrom="page">
                    <wp:posOffset>10081260</wp:posOffset>
                  </wp:positionV>
                  <wp:extent cx="723900" cy="419100"/>
                  <wp:effectExtent l="1905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7" cstate="print"/>
                          <a:srcRect/>
                          <a:stretch>
                            <a:fillRect/>
                          </a:stretch>
                        </pic:blipFill>
                        <pic:spPr bwMode="auto">
                          <a:xfrm>
                            <a:off x="0" y="0"/>
                            <a:ext cx="723900" cy="419100"/>
                          </a:xfrm>
                          <a:prstGeom prst="rect">
                            <a:avLst/>
                          </a:prstGeom>
                          <a:noFill/>
                          <a:ln w="9525">
                            <a:noFill/>
                            <a:miter lim="800000"/>
                            <a:headEnd/>
                            <a:tailEnd/>
                          </a:ln>
                        </pic:spPr>
                      </pic:pic>
                    </a:graphicData>
                  </a:graphic>
                </wp:anchor>
              </w:drawing>
            </w:r>
            <w:r>
              <w:rPr>
                <w:lang w:val="en-US"/>
              </w:rPr>
              <w:pict>
                <v:shape id="_x0000_s1034" type="#_x0000_t202" style="position:absolute;margin-left:56.7pt;margin-top:140.35pt;width:340.15pt;height:22.7pt;z-index:251657728;mso-position-horizontal-relative:page;mso-position-vertical-relative:page" filled="f" stroked="f">
                  <v:textbox style="mso-next-textbox:#_x0000_s1034" inset="0,0,0,0">
                    <w:txbxContent>
                      <w:p w:rsidR="000C7BCB" w:rsidRPr="0041787B" w:rsidRDefault="00726D14" w:rsidP="000C7BCB">
                        <w:pPr>
                          <w:pStyle w:val="Healthmainsubheading"/>
                        </w:pPr>
                        <w:r>
                          <w:t>Final</w:t>
                        </w:r>
                        <w:r w:rsidR="008C7122">
                          <w:t xml:space="preserve"> </w:t>
                        </w:r>
                        <w:r w:rsidR="0072470E">
                          <w:t xml:space="preserve">Project </w:t>
                        </w:r>
                        <w:r w:rsidR="008C7122">
                          <w:t xml:space="preserve">Report </w:t>
                        </w:r>
                      </w:p>
                    </w:txbxContent>
                  </v:textbox>
                  <w10:wrap anchorx="page" anchory="page"/>
                </v:shape>
              </w:pict>
            </w:r>
            <w:r w:rsidR="00C75093">
              <w:rPr>
                <w:noProof/>
                <w:lang w:val="en-US"/>
              </w:rPr>
              <w:drawing>
                <wp:inline distT="0" distB="0" distL="0" distR="0">
                  <wp:extent cx="7553325" cy="2057400"/>
                  <wp:effectExtent l="1905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8" cstate="print"/>
                          <a:srcRect/>
                          <a:stretch>
                            <a:fillRect/>
                          </a:stretch>
                        </pic:blipFill>
                        <pic:spPr bwMode="auto">
                          <a:xfrm>
                            <a:off x="0" y="0"/>
                            <a:ext cx="7553325" cy="2057400"/>
                          </a:xfrm>
                          <a:prstGeom prst="rect">
                            <a:avLst/>
                          </a:prstGeom>
                          <a:noFill/>
                          <a:ln w="9525">
                            <a:noFill/>
                            <a:miter lim="800000"/>
                            <a:headEnd/>
                            <a:tailEnd/>
                          </a:ln>
                        </pic:spPr>
                      </pic:pic>
                    </a:graphicData>
                  </a:graphic>
                </wp:inline>
              </w:drawing>
            </w:r>
          </w:p>
        </w:tc>
      </w:tr>
    </w:tbl>
    <w:p w:rsidR="000C7BCB" w:rsidRDefault="000C7BCB" w:rsidP="000F6E00">
      <w:pPr>
        <w:pStyle w:val="Healthbody"/>
        <w:spacing w:before="120"/>
        <w:sectPr w:rsidR="000C7BCB" w:rsidSect="000C7BCB">
          <w:footerReference w:type="default" r:id="rId9"/>
          <w:type w:val="continuous"/>
          <w:pgSz w:w="11899" w:h="16838"/>
          <w:pgMar w:top="0" w:right="851" w:bottom="2155" w:left="1134" w:header="0" w:footer="567" w:gutter="0"/>
          <w:cols w:space="708"/>
        </w:sectPr>
      </w:pPr>
    </w:p>
    <w:p w:rsidR="00637D81" w:rsidRDefault="00637D81" w:rsidP="00350B84">
      <w:pPr>
        <w:pStyle w:val="Healthheading2"/>
        <w:spacing w:before="2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487"/>
      </w:tblGrid>
      <w:tr w:rsidR="00350B84" w:rsidRPr="00873498" w:rsidTr="00AA033B">
        <w:tc>
          <w:tcPr>
            <w:tcW w:w="2093" w:type="dxa"/>
          </w:tcPr>
          <w:p w:rsidR="00350B84" w:rsidRPr="00AA033B" w:rsidRDefault="00350B84" w:rsidP="005249F8">
            <w:pPr>
              <w:pStyle w:val="Healthtablebody"/>
              <w:rPr>
                <w:b/>
                <w:sz w:val="20"/>
                <w:szCs w:val="20"/>
              </w:rPr>
            </w:pPr>
            <w:r w:rsidRPr="00AA033B">
              <w:rPr>
                <w:b/>
                <w:sz w:val="20"/>
                <w:szCs w:val="20"/>
              </w:rPr>
              <w:t>Project name:</w:t>
            </w:r>
          </w:p>
        </w:tc>
        <w:tc>
          <w:tcPr>
            <w:tcW w:w="6487" w:type="dxa"/>
          </w:tcPr>
          <w:p w:rsidR="00350B84" w:rsidRPr="00873498" w:rsidRDefault="00FD4DAB" w:rsidP="005249F8">
            <w:pPr>
              <w:pStyle w:val="Healthtablebody"/>
            </w:pPr>
            <w:r>
              <w:t>Upgrade 46 Lucan St Units</w:t>
            </w:r>
          </w:p>
        </w:tc>
      </w:tr>
      <w:tr w:rsidR="00350B84" w:rsidRPr="00873498" w:rsidTr="00AA033B">
        <w:tc>
          <w:tcPr>
            <w:tcW w:w="2093" w:type="dxa"/>
          </w:tcPr>
          <w:p w:rsidR="00350B84" w:rsidRPr="00AA033B" w:rsidRDefault="00350B84" w:rsidP="005249F8">
            <w:pPr>
              <w:pStyle w:val="Healthtablebody"/>
              <w:rPr>
                <w:b/>
                <w:sz w:val="20"/>
                <w:szCs w:val="20"/>
              </w:rPr>
            </w:pPr>
            <w:r w:rsidRPr="00AA033B">
              <w:rPr>
                <w:b/>
                <w:sz w:val="20"/>
                <w:szCs w:val="20"/>
              </w:rPr>
              <w:t>Total Department Funding (GST excl)</w:t>
            </w:r>
          </w:p>
        </w:tc>
        <w:tc>
          <w:tcPr>
            <w:tcW w:w="6487" w:type="dxa"/>
          </w:tcPr>
          <w:p w:rsidR="00350B84" w:rsidRPr="00873498" w:rsidRDefault="00350B84" w:rsidP="005249F8">
            <w:pPr>
              <w:pStyle w:val="Healthtablebody"/>
            </w:pPr>
            <w:r>
              <w:t>$</w:t>
            </w:r>
            <w:r w:rsidR="00FD4DAB">
              <w:t>493,947.00</w:t>
            </w:r>
          </w:p>
        </w:tc>
      </w:tr>
      <w:tr w:rsidR="00350B84" w:rsidRPr="00873498" w:rsidTr="00AA033B">
        <w:tc>
          <w:tcPr>
            <w:tcW w:w="2093" w:type="dxa"/>
          </w:tcPr>
          <w:p w:rsidR="00350B84" w:rsidRPr="00AA033B" w:rsidRDefault="00350B84" w:rsidP="005249F8">
            <w:pPr>
              <w:pStyle w:val="Healthtablebody"/>
              <w:rPr>
                <w:b/>
                <w:sz w:val="20"/>
                <w:szCs w:val="20"/>
              </w:rPr>
            </w:pPr>
            <w:r w:rsidRPr="00AA033B">
              <w:rPr>
                <w:b/>
                <w:sz w:val="20"/>
                <w:szCs w:val="20"/>
              </w:rPr>
              <w:t>Other Funding (GST excl)</w:t>
            </w:r>
          </w:p>
        </w:tc>
        <w:tc>
          <w:tcPr>
            <w:tcW w:w="6487" w:type="dxa"/>
          </w:tcPr>
          <w:p w:rsidR="00350B84" w:rsidRPr="00873498" w:rsidRDefault="00350B84" w:rsidP="005249F8">
            <w:pPr>
              <w:pStyle w:val="Healthtablebody"/>
            </w:pPr>
            <w:r>
              <w:t>$</w:t>
            </w:r>
          </w:p>
        </w:tc>
      </w:tr>
      <w:tr w:rsidR="009266AB" w:rsidRPr="00873498" w:rsidTr="00AA033B">
        <w:tc>
          <w:tcPr>
            <w:tcW w:w="2093" w:type="dxa"/>
          </w:tcPr>
          <w:p w:rsidR="009266AB" w:rsidRPr="00AA033B" w:rsidRDefault="009266AB" w:rsidP="005249F8">
            <w:pPr>
              <w:pStyle w:val="Healthtablebody"/>
              <w:rPr>
                <w:b/>
                <w:sz w:val="20"/>
                <w:szCs w:val="20"/>
              </w:rPr>
            </w:pPr>
            <w:r w:rsidRPr="00AA033B">
              <w:rPr>
                <w:b/>
                <w:sz w:val="20"/>
                <w:szCs w:val="20"/>
              </w:rPr>
              <w:t>Project completion date</w:t>
            </w:r>
          </w:p>
        </w:tc>
        <w:tc>
          <w:tcPr>
            <w:tcW w:w="6487" w:type="dxa"/>
          </w:tcPr>
          <w:p w:rsidR="009266AB" w:rsidRDefault="00FD4DAB" w:rsidP="005249F8">
            <w:pPr>
              <w:pStyle w:val="Healthtablebody"/>
            </w:pPr>
            <w:r>
              <w:t>Wednesday 13 November 2013</w:t>
            </w:r>
          </w:p>
        </w:tc>
      </w:tr>
      <w:tr w:rsidR="00350B84" w:rsidRPr="00873498" w:rsidTr="00AA033B">
        <w:tc>
          <w:tcPr>
            <w:tcW w:w="2093" w:type="dxa"/>
          </w:tcPr>
          <w:p w:rsidR="00350B84" w:rsidRPr="00AA033B" w:rsidRDefault="00350B84" w:rsidP="005249F8">
            <w:pPr>
              <w:pStyle w:val="Healthtablebody"/>
              <w:rPr>
                <w:b/>
                <w:sz w:val="20"/>
                <w:szCs w:val="20"/>
              </w:rPr>
            </w:pPr>
            <w:r w:rsidRPr="00AA033B">
              <w:rPr>
                <w:b/>
                <w:sz w:val="20"/>
                <w:szCs w:val="20"/>
              </w:rPr>
              <w:t>Report Author:</w:t>
            </w:r>
          </w:p>
        </w:tc>
        <w:tc>
          <w:tcPr>
            <w:tcW w:w="6487" w:type="dxa"/>
          </w:tcPr>
          <w:p w:rsidR="00350B84" w:rsidRPr="00873498" w:rsidRDefault="00FD4DAB" w:rsidP="005249F8">
            <w:pPr>
              <w:pStyle w:val="Healthtablebody"/>
            </w:pPr>
            <w:r>
              <w:t>Joel Fergus</w:t>
            </w:r>
          </w:p>
        </w:tc>
      </w:tr>
      <w:tr w:rsidR="00350B84" w:rsidRPr="00873498" w:rsidTr="00AA033B">
        <w:tc>
          <w:tcPr>
            <w:tcW w:w="2093" w:type="dxa"/>
          </w:tcPr>
          <w:p w:rsidR="00350B84" w:rsidRPr="00AA033B" w:rsidRDefault="00350B84" w:rsidP="005249F8">
            <w:pPr>
              <w:pStyle w:val="Healthtablebody"/>
              <w:rPr>
                <w:b/>
                <w:sz w:val="20"/>
                <w:szCs w:val="20"/>
              </w:rPr>
            </w:pPr>
            <w:r w:rsidRPr="00AA033B">
              <w:rPr>
                <w:b/>
                <w:sz w:val="20"/>
                <w:szCs w:val="20"/>
              </w:rPr>
              <w:t>Contact Email:</w:t>
            </w:r>
          </w:p>
        </w:tc>
        <w:tc>
          <w:tcPr>
            <w:tcW w:w="6487" w:type="dxa"/>
          </w:tcPr>
          <w:p w:rsidR="00350B84" w:rsidRPr="00873498" w:rsidRDefault="0033421E" w:rsidP="005249F8">
            <w:pPr>
              <w:pStyle w:val="Healthtablebody"/>
            </w:pPr>
            <w:hyperlink r:id="rId10" w:history="1">
              <w:r w:rsidR="00FD4DAB" w:rsidRPr="00AA033B">
                <w:rPr>
                  <w:rStyle w:val="Hyperlink"/>
                </w:rPr>
                <w:t>jfergus@benidoghealth.org.au</w:t>
              </w:r>
            </w:hyperlink>
            <w:r w:rsidR="00FD4DAB">
              <w:t xml:space="preserve"> </w:t>
            </w:r>
          </w:p>
        </w:tc>
      </w:tr>
    </w:tbl>
    <w:p w:rsidR="008C7122" w:rsidRDefault="008C7122" w:rsidP="008C7122">
      <w:pPr>
        <w:rPr>
          <w:rFonts w:ascii="Arial" w:hAnsi="Arial" w:cs="Arial"/>
          <w:u w:val="single"/>
        </w:rPr>
      </w:pPr>
    </w:p>
    <w:p w:rsidR="008C7122" w:rsidRPr="00B702E1" w:rsidRDefault="00726D14" w:rsidP="008C7122">
      <w:pPr>
        <w:numPr>
          <w:ilvl w:val="0"/>
          <w:numId w:val="9"/>
        </w:numPr>
        <w:tabs>
          <w:tab w:val="clear" w:pos="720"/>
        </w:tabs>
        <w:ind w:left="360"/>
        <w:rPr>
          <w:rFonts w:ascii="Arial" w:hAnsi="Arial" w:cs="Arial"/>
          <w:b/>
          <w:u w:val="single"/>
        </w:rPr>
      </w:pPr>
      <w:r w:rsidRPr="00B702E1">
        <w:rPr>
          <w:rFonts w:ascii="Arial" w:hAnsi="Arial" w:cs="Arial"/>
          <w:b/>
          <w:u w:val="single"/>
        </w:rPr>
        <w:t>Background and Context</w:t>
      </w:r>
    </w:p>
    <w:p w:rsidR="00825D5D" w:rsidRPr="001319E9" w:rsidRDefault="00825D5D" w:rsidP="00FD4DAB">
      <w:pPr>
        <w:ind w:left="284"/>
        <w:rPr>
          <w:rFonts w:ascii="Arial" w:eastAsia="Times New Roman" w:hAnsi="Arial" w:cs="Arial"/>
          <w:i/>
          <w:sz w:val="20"/>
          <w:szCs w:val="20"/>
          <w:lang w:val="en-AU" w:eastAsia="en-AU"/>
        </w:rPr>
      </w:pPr>
      <w:r w:rsidRPr="001319E9">
        <w:rPr>
          <w:rFonts w:ascii="Arial" w:eastAsia="Times New Roman" w:hAnsi="Arial" w:cs="Arial"/>
          <w:i/>
          <w:sz w:val="20"/>
          <w:szCs w:val="20"/>
          <w:lang w:val="en-AU" w:eastAsia="en-AU"/>
        </w:rPr>
        <w:t>The Loddon Mallee’s accommodation and infrastructure needs analysis was used to identify what accommodation is currently available, what funding has been received in terms of infrastructure and accommodation monies to date, and what barriers to increasing clinical placement capacity were in each municipality throughout the Loddon Mallee region.  The needs analysis also identified clinical placement activity by LGA, and by municipality to quantify what percentage of the total clinical placement activity each agency in the region accounted for.</w:t>
      </w:r>
    </w:p>
    <w:p w:rsidR="00825D5D" w:rsidRDefault="00825D5D" w:rsidP="001319E9">
      <w:pPr>
        <w:rPr>
          <w:rFonts w:ascii="Arial" w:eastAsia="Times New Roman" w:hAnsi="Arial" w:cs="Arial"/>
          <w:sz w:val="20"/>
          <w:szCs w:val="20"/>
          <w:lang w:val="en-AU" w:eastAsia="en-AU"/>
        </w:rPr>
      </w:pPr>
    </w:p>
    <w:p w:rsidR="008C7122" w:rsidRPr="001319E9" w:rsidRDefault="001319E9" w:rsidP="00FD4DAB">
      <w:pPr>
        <w:ind w:left="284"/>
        <w:rPr>
          <w:rFonts w:ascii="Arial" w:eastAsia="Times New Roman" w:hAnsi="Arial" w:cs="Arial"/>
          <w:i/>
          <w:sz w:val="20"/>
          <w:szCs w:val="20"/>
          <w:lang w:val="en-AU" w:eastAsia="en-AU"/>
        </w:rPr>
      </w:pPr>
      <w:r w:rsidRPr="001319E9">
        <w:rPr>
          <w:rFonts w:ascii="Arial" w:eastAsia="Times New Roman" w:hAnsi="Arial" w:cs="Arial"/>
          <w:i/>
          <w:sz w:val="20"/>
          <w:szCs w:val="20"/>
          <w:lang w:val="en-AU" w:eastAsia="en-AU"/>
        </w:rPr>
        <w:t xml:space="preserve">As a result of the analysis </w:t>
      </w:r>
      <w:r w:rsidR="00C75093">
        <w:rPr>
          <w:rFonts w:ascii="Arial" w:eastAsia="Times New Roman" w:hAnsi="Arial" w:cs="Arial"/>
          <w:i/>
          <w:sz w:val="20"/>
          <w:szCs w:val="20"/>
          <w:lang w:val="en-AU" w:eastAsia="en-AU"/>
        </w:rPr>
        <w:t xml:space="preserve">and the fact that the Pethard building was to be demolished (which provided 24 clinical student accommodation beds), </w:t>
      </w:r>
      <w:r w:rsidRPr="001319E9">
        <w:rPr>
          <w:rFonts w:ascii="Arial" w:eastAsia="Times New Roman" w:hAnsi="Arial" w:cs="Arial"/>
          <w:i/>
          <w:sz w:val="20"/>
          <w:szCs w:val="20"/>
          <w:lang w:val="en-AU" w:eastAsia="en-AU"/>
        </w:rPr>
        <w:t>Bendigo Health was</w:t>
      </w:r>
      <w:r w:rsidR="00FB74F7">
        <w:rPr>
          <w:rFonts w:ascii="Arial" w:eastAsia="Times New Roman" w:hAnsi="Arial" w:cs="Arial"/>
          <w:i/>
          <w:sz w:val="20"/>
          <w:szCs w:val="20"/>
          <w:lang w:val="en-AU" w:eastAsia="en-AU"/>
        </w:rPr>
        <w:t xml:space="preserve"> identified as being at considerable risk of not being able to adequately service the needs of extra regional clinical students. The Loddon Mallee Clinical Placement Network</w:t>
      </w:r>
      <w:r w:rsidRPr="001319E9">
        <w:rPr>
          <w:rFonts w:ascii="Arial" w:eastAsia="Times New Roman" w:hAnsi="Arial" w:cs="Arial"/>
          <w:i/>
          <w:sz w:val="20"/>
          <w:szCs w:val="20"/>
          <w:lang w:val="en-AU" w:eastAsia="en-AU"/>
        </w:rPr>
        <w:t xml:space="preserve"> </w:t>
      </w:r>
      <w:r w:rsidR="00C75093">
        <w:rPr>
          <w:rFonts w:ascii="Arial" w:eastAsia="Times New Roman" w:hAnsi="Arial" w:cs="Arial"/>
          <w:i/>
          <w:sz w:val="20"/>
          <w:szCs w:val="20"/>
          <w:lang w:val="en-AU" w:eastAsia="en-AU"/>
        </w:rPr>
        <w:t xml:space="preserve">recommended that the opportunity o refurbish the Bendigo Health Lucan Street apartments would pose a viable solution to this issue and </w:t>
      </w:r>
      <w:r w:rsidRPr="001319E9">
        <w:rPr>
          <w:rFonts w:ascii="Arial" w:eastAsia="Times New Roman" w:hAnsi="Arial" w:cs="Arial"/>
          <w:i/>
          <w:sz w:val="20"/>
          <w:szCs w:val="20"/>
          <w:lang w:val="en-AU" w:eastAsia="en-AU"/>
        </w:rPr>
        <w:t>funding t</w:t>
      </w:r>
      <w:r w:rsidR="00FD4DAB" w:rsidRPr="001319E9">
        <w:rPr>
          <w:rFonts w:ascii="Arial" w:eastAsia="Times New Roman" w:hAnsi="Arial" w:cs="Arial"/>
          <w:i/>
          <w:sz w:val="20"/>
          <w:szCs w:val="20"/>
          <w:lang w:val="en-AU" w:eastAsia="en-AU"/>
        </w:rPr>
        <w:t xml:space="preserve">o refurbish and furnish </w:t>
      </w:r>
      <w:r w:rsidR="00C75093">
        <w:rPr>
          <w:rFonts w:ascii="Arial" w:eastAsia="Times New Roman" w:hAnsi="Arial" w:cs="Arial"/>
          <w:i/>
          <w:sz w:val="20"/>
          <w:szCs w:val="20"/>
          <w:lang w:val="en-AU" w:eastAsia="en-AU"/>
        </w:rPr>
        <w:t xml:space="preserve">the </w:t>
      </w:r>
      <w:r w:rsidR="00FD4DAB" w:rsidRPr="001319E9">
        <w:rPr>
          <w:rFonts w:ascii="Arial" w:eastAsia="Times New Roman" w:hAnsi="Arial" w:cs="Arial"/>
          <w:i/>
          <w:sz w:val="20"/>
          <w:szCs w:val="20"/>
          <w:lang w:val="en-AU" w:eastAsia="en-AU"/>
        </w:rPr>
        <w:t xml:space="preserve">12 bed accommodation </w:t>
      </w:r>
      <w:r w:rsidR="00C75093">
        <w:rPr>
          <w:rFonts w:ascii="Arial" w:eastAsia="Times New Roman" w:hAnsi="Arial" w:cs="Arial"/>
          <w:i/>
          <w:sz w:val="20"/>
          <w:szCs w:val="20"/>
          <w:lang w:val="en-AU" w:eastAsia="en-AU"/>
        </w:rPr>
        <w:t>for</w:t>
      </w:r>
      <w:r w:rsidR="00FD4DAB" w:rsidRPr="001319E9">
        <w:rPr>
          <w:rFonts w:ascii="Arial" w:eastAsia="Times New Roman" w:hAnsi="Arial" w:cs="Arial"/>
          <w:i/>
          <w:sz w:val="20"/>
          <w:szCs w:val="20"/>
          <w:lang w:val="en-AU" w:eastAsia="en-AU"/>
        </w:rPr>
        <w:t xml:space="preserve"> dedicated clinical student accommodation</w:t>
      </w:r>
      <w:r w:rsidR="00825D5D" w:rsidRPr="001319E9">
        <w:rPr>
          <w:rFonts w:ascii="Arial" w:eastAsia="Times New Roman" w:hAnsi="Arial" w:cs="Arial"/>
          <w:i/>
          <w:sz w:val="20"/>
          <w:szCs w:val="20"/>
          <w:lang w:val="en-AU" w:eastAsia="en-AU"/>
        </w:rPr>
        <w:t xml:space="preserve"> along with the design and construction of a new common/recreation room</w:t>
      </w:r>
      <w:r w:rsidR="00C75093">
        <w:rPr>
          <w:rFonts w:ascii="Arial" w:eastAsia="Times New Roman" w:hAnsi="Arial" w:cs="Arial"/>
          <w:i/>
          <w:sz w:val="20"/>
          <w:szCs w:val="20"/>
          <w:lang w:val="en-AU" w:eastAsia="en-AU"/>
        </w:rPr>
        <w:t xml:space="preserve"> was funded.</w:t>
      </w:r>
    </w:p>
    <w:p w:rsidR="00FD4DAB" w:rsidRPr="005E208F" w:rsidRDefault="00FD4DAB" w:rsidP="00FD4DAB">
      <w:pPr>
        <w:ind w:left="284"/>
        <w:rPr>
          <w:rFonts w:ascii="Arial" w:hAnsi="Arial" w:cs="Arial"/>
          <w:sz w:val="22"/>
          <w:szCs w:val="22"/>
        </w:rPr>
      </w:pPr>
    </w:p>
    <w:p w:rsidR="008C7122" w:rsidRPr="00B702E1" w:rsidRDefault="00726D14" w:rsidP="008C7122">
      <w:pPr>
        <w:numPr>
          <w:ilvl w:val="0"/>
          <w:numId w:val="9"/>
        </w:numPr>
        <w:tabs>
          <w:tab w:val="clear" w:pos="720"/>
        </w:tabs>
        <w:ind w:left="360"/>
        <w:rPr>
          <w:rFonts w:ascii="Arial" w:hAnsi="Arial" w:cs="Arial"/>
          <w:b/>
          <w:sz w:val="22"/>
          <w:szCs w:val="22"/>
        </w:rPr>
      </w:pPr>
      <w:r w:rsidRPr="00B702E1">
        <w:rPr>
          <w:rFonts w:ascii="Arial" w:hAnsi="Arial" w:cs="Arial"/>
          <w:b/>
          <w:u w:val="single"/>
        </w:rPr>
        <w:t xml:space="preserve">Project Objectives and Expected Impacts </w:t>
      </w:r>
    </w:p>
    <w:p w:rsidR="008C7122" w:rsidRPr="00F43429" w:rsidRDefault="001319E9" w:rsidP="001319E9">
      <w:pPr>
        <w:pStyle w:val="Healthbody"/>
        <w:numPr>
          <w:ilvl w:val="0"/>
          <w:numId w:val="17"/>
        </w:numPr>
        <w:rPr>
          <w:i/>
        </w:rPr>
      </w:pPr>
      <w:r w:rsidRPr="00F43429">
        <w:rPr>
          <w:i/>
        </w:rPr>
        <w:t>To provide clinical placement accommodation to transient students on placement in Bendigo and surrounding districts</w:t>
      </w:r>
    </w:p>
    <w:p w:rsidR="001319E9" w:rsidRPr="00F43429" w:rsidRDefault="001319E9" w:rsidP="001319E9">
      <w:pPr>
        <w:pStyle w:val="Healthbody"/>
        <w:numPr>
          <w:ilvl w:val="0"/>
          <w:numId w:val="17"/>
        </w:numPr>
        <w:rPr>
          <w:i/>
        </w:rPr>
      </w:pPr>
      <w:r w:rsidRPr="00F43429">
        <w:rPr>
          <w:i/>
        </w:rPr>
        <w:t>To increase student satisfaction with the accommodation services provided while on placement at Bendigo Health or other local clinical placement providers who may use this accommodation</w:t>
      </w:r>
    </w:p>
    <w:p w:rsidR="001319E9" w:rsidRPr="00F43429" w:rsidRDefault="001319E9" w:rsidP="001319E9">
      <w:pPr>
        <w:pStyle w:val="Healthbody"/>
        <w:numPr>
          <w:ilvl w:val="0"/>
          <w:numId w:val="17"/>
        </w:numPr>
        <w:rPr>
          <w:i/>
        </w:rPr>
      </w:pPr>
      <w:r w:rsidRPr="00F43429">
        <w:rPr>
          <w:i/>
        </w:rPr>
        <w:t>To increase the number of transient clinical placement students availing placements at Bendigo Health and within the City of Greater Bendigo more generally.</w:t>
      </w:r>
    </w:p>
    <w:p w:rsidR="008A051E" w:rsidRPr="005932E4" w:rsidRDefault="008A051E" w:rsidP="005932E4">
      <w:pPr>
        <w:rPr>
          <w:rFonts w:ascii="Arial" w:hAnsi="Arial" w:cs="Arial"/>
          <w:u w:val="single"/>
        </w:rPr>
      </w:pPr>
    </w:p>
    <w:p w:rsidR="008C7122" w:rsidRPr="00B702E1" w:rsidRDefault="00726D14" w:rsidP="008C7122">
      <w:pPr>
        <w:numPr>
          <w:ilvl w:val="0"/>
          <w:numId w:val="9"/>
        </w:numPr>
        <w:tabs>
          <w:tab w:val="clear" w:pos="720"/>
        </w:tabs>
        <w:ind w:left="360"/>
        <w:rPr>
          <w:rFonts w:ascii="Arial" w:hAnsi="Arial" w:cs="Arial"/>
          <w:b/>
          <w:u w:val="single"/>
        </w:rPr>
      </w:pPr>
      <w:r w:rsidRPr="00B702E1">
        <w:rPr>
          <w:rFonts w:ascii="Arial" w:hAnsi="Arial" w:cs="Arial"/>
          <w:b/>
          <w:u w:val="single"/>
        </w:rPr>
        <w:t xml:space="preserve">Project Management </w:t>
      </w:r>
    </w:p>
    <w:p w:rsidR="00F43429" w:rsidRPr="00F43429" w:rsidRDefault="00F43429" w:rsidP="001319E9">
      <w:pPr>
        <w:pStyle w:val="Healthbullet1"/>
        <w:numPr>
          <w:ilvl w:val="0"/>
          <w:numId w:val="0"/>
        </w:numPr>
        <w:ind w:left="284" w:hanging="284"/>
      </w:pPr>
    </w:p>
    <w:p w:rsidR="00F43429" w:rsidRPr="00F43429" w:rsidRDefault="00F43429" w:rsidP="00F43429">
      <w:pPr>
        <w:autoSpaceDE w:val="0"/>
        <w:autoSpaceDN w:val="0"/>
        <w:adjustRightInd w:val="0"/>
        <w:ind w:left="284"/>
        <w:rPr>
          <w:rFonts w:ascii="Arial" w:eastAsia="Times New Roman" w:hAnsi="Arial" w:cs="Arial"/>
          <w:i/>
          <w:sz w:val="20"/>
          <w:szCs w:val="20"/>
          <w:lang w:val="en-AU" w:eastAsia="en-AU"/>
        </w:rPr>
      </w:pPr>
      <w:r w:rsidRPr="00F43429">
        <w:rPr>
          <w:rFonts w:ascii="Arial" w:eastAsia="Times New Roman" w:hAnsi="Arial" w:cs="Arial"/>
          <w:i/>
          <w:sz w:val="20"/>
          <w:szCs w:val="20"/>
          <w:lang w:val="en-AU" w:eastAsia="en-AU"/>
        </w:rPr>
        <w:t xml:space="preserve">Bendigo Health’s Building and Infrastructure team </w:t>
      </w:r>
      <w:r w:rsidR="00B645E9">
        <w:rPr>
          <w:rFonts w:ascii="Arial" w:eastAsia="Times New Roman" w:hAnsi="Arial" w:cs="Arial"/>
          <w:i/>
          <w:sz w:val="20"/>
          <w:szCs w:val="20"/>
          <w:lang w:val="en-AU" w:eastAsia="en-AU"/>
        </w:rPr>
        <w:t>were</w:t>
      </w:r>
      <w:r w:rsidRPr="00F43429">
        <w:rPr>
          <w:rFonts w:ascii="Arial" w:eastAsia="Times New Roman" w:hAnsi="Arial" w:cs="Arial"/>
          <w:i/>
          <w:sz w:val="20"/>
          <w:szCs w:val="20"/>
          <w:lang w:val="en-AU" w:eastAsia="en-AU"/>
        </w:rPr>
        <w:t xml:space="preserve"> responsible for the project management of the refurbishment of 46 Lucan street and provide</w:t>
      </w:r>
      <w:r w:rsidR="00B645E9">
        <w:rPr>
          <w:rFonts w:ascii="Arial" w:eastAsia="Times New Roman" w:hAnsi="Arial" w:cs="Arial"/>
          <w:i/>
          <w:sz w:val="20"/>
          <w:szCs w:val="20"/>
          <w:lang w:val="en-AU" w:eastAsia="en-AU"/>
        </w:rPr>
        <w:t>d</w:t>
      </w:r>
      <w:r w:rsidRPr="00F43429">
        <w:rPr>
          <w:rFonts w:ascii="Arial" w:eastAsia="Times New Roman" w:hAnsi="Arial" w:cs="Arial"/>
          <w:i/>
          <w:sz w:val="20"/>
          <w:szCs w:val="20"/>
          <w:lang w:val="en-AU" w:eastAsia="en-AU"/>
        </w:rPr>
        <w:t xml:space="preserve"> updates to the CHERC Operations Manager at Bendigo Health and the Executive Director (ED) of the New Bendigo Hospital project.</w:t>
      </w:r>
      <w:r w:rsidRPr="00F43429">
        <w:rPr>
          <w:rFonts w:ascii="Arial" w:eastAsia="Times New Roman" w:hAnsi="Arial" w:cs="Arial"/>
          <w:i/>
          <w:sz w:val="20"/>
          <w:szCs w:val="20"/>
          <w:lang w:val="en-AU" w:eastAsia="en-AU"/>
        </w:rPr>
        <w:br/>
      </w:r>
    </w:p>
    <w:p w:rsidR="00F43429" w:rsidRPr="00F43429" w:rsidRDefault="00F43429" w:rsidP="00F43429">
      <w:pPr>
        <w:autoSpaceDE w:val="0"/>
        <w:autoSpaceDN w:val="0"/>
        <w:adjustRightInd w:val="0"/>
        <w:ind w:left="284"/>
        <w:rPr>
          <w:rFonts w:ascii="Arial" w:eastAsia="Times New Roman" w:hAnsi="Arial" w:cs="Arial"/>
          <w:i/>
          <w:sz w:val="20"/>
          <w:szCs w:val="20"/>
          <w:lang w:val="en-AU" w:eastAsia="en-AU"/>
        </w:rPr>
      </w:pPr>
      <w:r w:rsidRPr="00F43429">
        <w:rPr>
          <w:rFonts w:ascii="Arial" w:eastAsia="Times New Roman" w:hAnsi="Arial" w:cs="Arial"/>
          <w:i/>
          <w:sz w:val="20"/>
          <w:szCs w:val="20"/>
          <w:lang w:val="en-AU" w:eastAsia="en-AU"/>
        </w:rPr>
        <w:lastRenderedPageBreak/>
        <w:t>The ED of the New Bendigo Hospital project repor</w:t>
      </w:r>
      <w:r w:rsidR="00B645E9">
        <w:rPr>
          <w:rFonts w:ascii="Arial" w:eastAsia="Times New Roman" w:hAnsi="Arial" w:cs="Arial"/>
          <w:i/>
          <w:sz w:val="20"/>
          <w:szCs w:val="20"/>
          <w:lang w:val="en-AU" w:eastAsia="en-AU"/>
        </w:rPr>
        <w:t>ted</w:t>
      </w:r>
      <w:r w:rsidRPr="00F43429">
        <w:rPr>
          <w:rFonts w:ascii="Arial" w:eastAsia="Times New Roman" w:hAnsi="Arial" w:cs="Arial"/>
          <w:i/>
          <w:sz w:val="20"/>
          <w:szCs w:val="20"/>
          <w:lang w:val="en-AU" w:eastAsia="en-AU"/>
        </w:rPr>
        <w:t xml:space="preserve"> progress of this project to the Bendigo Health Executive. The CHERC Operations Manager  assist</w:t>
      </w:r>
      <w:r w:rsidR="00B645E9">
        <w:rPr>
          <w:rFonts w:ascii="Arial" w:eastAsia="Times New Roman" w:hAnsi="Arial" w:cs="Arial"/>
          <w:i/>
          <w:sz w:val="20"/>
          <w:szCs w:val="20"/>
          <w:lang w:val="en-AU" w:eastAsia="en-AU"/>
        </w:rPr>
        <w:t>ed</w:t>
      </w:r>
      <w:r w:rsidRPr="00F43429">
        <w:rPr>
          <w:rFonts w:ascii="Arial" w:eastAsia="Times New Roman" w:hAnsi="Arial" w:cs="Arial"/>
          <w:i/>
          <w:sz w:val="20"/>
          <w:szCs w:val="20"/>
          <w:lang w:val="en-AU" w:eastAsia="en-AU"/>
        </w:rPr>
        <w:t xml:space="preserve"> the B&amp;I Project Manager to prepare progress and final project report</w:t>
      </w:r>
      <w:r w:rsidR="00B645E9">
        <w:rPr>
          <w:rFonts w:ascii="Arial" w:eastAsia="Times New Roman" w:hAnsi="Arial" w:cs="Arial"/>
          <w:i/>
          <w:sz w:val="20"/>
          <w:szCs w:val="20"/>
          <w:lang w:val="en-AU" w:eastAsia="en-AU"/>
        </w:rPr>
        <w:t>s</w:t>
      </w:r>
      <w:r w:rsidRPr="00F43429">
        <w:rPr>
          <w:rFonts w:ascii="Arial" w:eastAsia="Times New Roman" w:hAnsi="Arial" w:cs="Arial"/>
          <w:i/>
          <w:sz w:val="20"/>
          <w:szCs w:val="20"/>
          <w:lang w:val="en-AU" w:eastAsia="en-AU"/>
        </w:rPr>
        <w:t xml:space="preserve"> and acquittal statements for the Department of Health.</w:t>
      </w:r>
      <w:r w:rsidRPr="00F43429">
        <w:rPr>
          <w:rFonts w:ascii="Arial" w:eastAsia="Times New Roman" w:hAnsi="Arial" w:cs="Arial"/>
          <w:i/>
          <w:sz w:val="20"/>
          <w:szCs w:val="20"/>
          <w:lang w:val="en-AU" w:eastAsia="en-AU"/>
        </w:rPr>
        <w:br/>
      </w:r>
    </w:p>
    <w:p w:rsidR="00B702E1" w:rsidRPr="00F43429" w:rsidRDefault="00F43429" w:rsidP="00F43429">
      <w:pPr>
        <w:pStyle w:val="Healthbullet1"/>
        <w:numPr>
          <w:ilvl w:val="0"/>
          <w:numId w:val="0"/>
        </w:numPr>
        <w:ind w:left="284"/>
        <w:rPr>
          <w:i/>
        </w:rPr>
      </w:pPr>
      <w:r w:rsidRPr="00F43429">
        <w:rPr>
          <w:rFonts w:eastAsia="Times New Roman" w:cs="Arial"/>
          <w:i/>
          <w:szCs w:val="20"/>
          <w:lang w:eastAsia="en-AU"/>
        </w:rPr>
        <w:t xml:space="preserve">Ongoing management of the accommodation resource </w:t>
      </w:r>
      <w:r w:rsidR="00B645E9">
        <w:rPr>
          <w:rFonts w:eastAsia="Times New Roman" w:cs="Arial"/>
          <w:i/>
          <w:szCs w:val="20"/>
          <w:lang w:eastAsia="en-AU"/>
        </w:rPr>
        <w:t>is</w:t>
      </w:r>
      <w:r w:rsidR="00B645E9" w:rsidRPr="00F43429">
        <w:rPr>
          <w:rFonts w:eastAsia="Times New Roman" w:cs="Arial"/>
          <w:i/>
          <w:szCs w:val="20"/>
          <w:lang w:eastAsia="en-AU"/>
        </w:rPr>
        <w:t xml:space="preserve"> </w:t>
      </w:r>
      <w:r w:rsidRPr="00F43429">
        <w:rPr>
          <w:rFonts w:eastAsia="Times New Roman" w:cs="Arial"/>
          <w:i/>
          <w:szCs w:val="20"/>
          <w:lang w:eastAsia="en-AU"/>
        </w:rPr>
        <w:t xml:space="preserve">the responsibility of the Bendigo Health accommodation unit, in collaboration with the Clinical Deanery, </w:t>
      </w:r>
      <w:r w:rsidR="00B645E9">
        <w:rPr>
          <w:rFonts w:eastAsia="Times New Roman" w:cs="Arial"/>
          <w:i/>
          <w:szCs w:val="20"/>
          <w:lang w:eastAsia="en-AU"/>
        </w:rPr>
        <w:t>who</w:t>
      </w:r>
      <w:r w:rsidRPr="00F43429">
        <w:rPr>
          <w:rFonts w:eastAsia="Times New Roman" w:cs="Arial"/>
          <w:i/>
          <w:szCs w:val="20"/>
          <w:lang w:eastAsia="en-AU"/>
        </w:rPr>
        <w:t xml:space="preserve"> </w:t>
      </w:r>
      <w:r w:rsidR="00B645E9">
        <w:rPr>
          <w:rFonts w:eastAsia="Times New Roman" w:cs="Arial"/>
          <w:i/>
          <w:szCs w:val="20"/>
          <w:lang w:eastAsia="en-AU"/>
        </w:rPr>
        <w:t>are now</w:t>
      </w:r>
      <w:r w:rsidRPr="00F43429">
        <w:rPr>
          <w:rFonts w:eastAsia="Times New Roman" w:cs="Arial"/>
          <w:i/>
          <w:szCs w:val="20"/>
          <w:lang w:eastAsia="en-AU"/>
        </w:rPr>
        <w:t xml:space="preserve"> responsible for procedure development around its usage, management and maintenance that is consistent with policy endorsed by the Clinical Placement Network Committee.</w:t>
      </w:r>
    </w:p>
    <w:p w:rsidR="008C7122" w:rsidRPr="00F43429" w:rsidRDefault="008C7122" w:rsidP="008C7122">
      <w:pPr>
        <w:rPr>
          <w:rFonts w:ascii="Arial" w:hAnsi="Arial" w:cs="Arial"/>
          <w:sz w:val="22"/>
          <w:szCs w:val="22"/>
        </w:rPr>
      </w:pPr>
    </w:p>
    <w:p w:rsidR="002200FF" w:rsidRPr="00B702E1" w:rsidRDefault="002200FF" w:rsidP="002200FF">
      <w:pPr>
        <w:numPr>
          <w:ilvl w:val="0"/>
          <w:numId w:val="9"/>
        </w:numPr>
        <w:tabs>
          <w:tab w:val="clear" w:pos="720"/>
        </w:tabs>
        <w:ind w:left="360"/>
        <w:rPr>
          <w:rFonts w:ascii="Arial" w:hAnsi="Arial" w:cs="Arial"/>
          <w:b/>
          <w:u w:val="single"/>
        </w:rPr>
      </w:pPr>
      <w:r w:rsidRPr="00B702E1">
        <w:rPr>
          <w:rFonts w:ascii="Arial" w:hAnsi="Arial" w:cs="Arial"/>
          <w:b/>
          <w:u w:val="single"/>
        </w:rPr>
        <w:t xml:space="preserve">Project performance against stated </w:t>
      </w:r>
      <w:r w:rsidR="00D906F5">
        <w:rPr>
          <w:rFonts w:ascii="Arial" w:hAnsi="Arial" w:cs="Arial"/>
          <w:b/>
          <w:u w:val="single"/>
        </w:rPr>
        <w:t>deliverables</w:t>
      </w:r>
      <w:r w:rsidR="00D906F5">
        <w:rPr>
          <w:rFonts w:ascii="Arial" w:hAnsi="Arial" w:cs="Arial"/>
          <w:b/>
          <w:u w:val="single"/>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984"/>
        <w:gridCol w:w="1139"/>
        <w:gridCol w:w="4675"/>
      </w:tblGrid>
      <w:tr w:rsidR="00D906F5" w:rsidRPr="00AA033B" w:rsidTr="00AA033B">
        <w:tc>
          <w:tcPr>
            <w:tcW w:w="2375" w:type="dxa"/>
            <w:shd w:val="clear" w:color="auto" w:fill="0073CF"/>
          </w:tcPr>
          <w:p w:rsidR="00D906F5" w:rsidRPr="00873498" w:rsidRDefault="00D906F5" w:rsidP="00B858C9">
            <w:pPr>
              <w:pStyle w:val="Healthtablecolumnhead"/>
            </w:pPr>
            <w:r w:rsidRPr="00873498">
              <w:t xml:space="preserve">Project </w:t>
            </w:r>
            <w:r>
              <w:t>Activity</w:t>
            </w:r>
          </w:p>
        </w:tc>
        <w:tc>
          <w:tcPr>
            <w:tcW w:w="1984" w:type="dxa"/>
            <w:shd w:val="clear" w:color="auto" w:fill="0073CF"/>
          </w:tcPr>
          <w:p w:rsidR="00D906F5" w:rsidRPr="00873498" w:rsidRDefault="00D906F5" w:rsidP="00B858C9">
            <w:pPr>
              <w:pStyle w:val="Healthtablecolumnhead"/>
            </w:pPr>
            <w:r>
              <w:t>Project Deliverable / Target</w:t>
            </w:r>
          </w:p>
        </w:tc>
        <w:tc>
          <w:tcPr>
            <w:tcW w:w="1139" w:type="dxa"/>
            <w:shd w:val="clear" w:color="auto" w:fill="0073CF"/>
          </w:tcPr>
          <w:p w:rsidR="00D906F5" w:rsidRPr="00873498" w:rsidRDefault="00D906F5" w:rsidP="00B858C9">
            <w:pPr>
              <w:pStyle w:val="Healthtablecolumnhead"/>
            </w:pPr>
            <w:r>
              <w:t>Due Date</w:t>
            </w:r>
          </w:p>
        </w:tc>
        <w:tc>
          <w:tcPr>
            <w:tcW w:w="4675" w:type="dxa"/>
            <w:shd w:val="clear" w:color="auto" w:fill="0073CF"/>
          </w:tcPr>
          <w:p w:rsidR="00D906F5" w:rsidRPr="00873498" w:rsidDel="00B34E1C" w:rsidRDefault="00D906F5" w:rsidP="00B858C9">
            <w:pPr>
              <w:pStyle w:val="Healthtablecolumnhead"/>
            </w:pPr>
            <w:r>
              <w:t>Status</w:t>
            </w:r>
            <w:r w:rsidRPr="00873498">
              <w:t xml:space="preserve"> (ie. complete, </w:t>
            </w:r>
            <w:r>
              <w:t>not complete</w:t>
            </w:r>
            <w:r w:rsidRPr="00873498">
              <w:t>)</w:t>
            </w:r>
          </w:p>
        </w:tc>
      </w:tr>
      <w:tr w:rsidR="00F43429" w:rsidRPr="00AA033B" w:rsidTr="00AA033B">
        <w:tc>
          <w:tcPr>
            <w:tcW w:w="2375"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Allocate project manager</w:t>
            </w:r>
          </w:p>
          <w:p w:rsidR="00F43429" w:rsidRPr="00AA033B" w:rsidRDefault="00F43429" w:rsidP="00AA033B">
            <w:pPr>
              <w:autoSpaceDE w:val="0"/>
              <w:autoSpaceDN w:val="0"/>
              <w:adjustRightInd w:val="0"/>
              <w:rPr>
                <w:rFonts w:ascii="Arial" w:eastAsia="Times New Roman" w:hAnsi="Arial" w:cs="Arial"/>
                <w:sz w:val="20"/>
                <w:szCs w:val="20"/>
                <w:lang w:val="en-AU" w:eastAsia="en-AU"/>
              </w:rPr>
            </w:pPr>
          </w:p>
        </w:tc>
        <w:tc>
          <w:tcPr>
            <w:tcW w:w="1984" w:type="dxa"/>
          </w:tcPr>
          <w:p w:rsidR="00F43429" w:rsidRPr="00AA033B" w:rsidRDefault="00F43429" w:rsidP="00AA033B">
            <w:pPr>
              <w:autoSpaceDE w:val="0"/>
              <w:autoSpaceDN w:val="0"/>
              <w:adjustRightInd w:val="0"/>
              <w:rPr>
                <w:rFonts w:ascii="Arial" w:hAnsi="Arial" w:cs="Arial"/>
                <w:sz w:val="20"/>
                <w:szCs w:val="20"/>
              </w:rPr>
            </w:pPr>
            <w:r w:rsidRPr="00AA033B">
              <w:rPr>
                <w:rFonts w:ascii="Arial" w:eastAsia="Times New Roman" w:hAnsi="Arial" w:cs="Arial"/>
                <w:sz w:val="20"/>
                <w:szCs w:val="20"/>
                <w:lang w:val="en-AU" w:eastAsia="en-AU"/>
              </w:rPr>
              <w:t>Quarterly Report 1: Completion progress of project</w:t>
            </w:r>
          </w:p>
        </w:tc>
        <w:tc>
          <w:tcPr>
            <w:tcW w:w="1139"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August 2012</w:t>
            </w:r>
          </w:p>
        </w:tc>
        <w:tc>
          <w:tcPr>
            <w:tcW w:w="4675" w:type="dxa"/>
          </w:tcPr>
          <w:p w:rsidR="00F43429" w:rsidRPr="00AA033B" w:rsidRDefault="00F43429" w:rsidP="00AA033B">
            <w:pPr>
              <w:pStyle w:val="Healthtablebody"/>
              <w:rPr>
                <w:rFonts w:cs="Arial"/>
                <w:sz w:val="20"/>
                <w:szCs w:val="20"/>
              </w:rPr>
            </w:pPr>
            <w:r w:rsidRPr="00AA033B">
              <w:rPr>
                <w:rFonts w:cs="Arial"/>
                <w:sz w:val="20"/>
                <w:szCs w:val="20"/>
              </w:rPr>
              <w:t>Complete</w:t>
            </w:r>
          </w:p>
        </w:tc>
      </w:tr>
      <w:tr w:rsidR="00F43429" w:rsidRPr="00AA033B" w:rsidTr="00AA033B">
        <w:tc>
          <w:tcPr>
            <w:tcW w:w="2375"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Scope quantify and cost the project in greater detail</w:t>
            </w:r>
          </w:p>
        </w:tc>
        <w:tc>
          <w:tcPr>
            <w:tcW w:w="1984" w:type="dxa"/>
          </w:tcPr>
          <w:p w:rsidR="00F43429" w:rsidRPr="00AA033B" w:rsidRDefault="00F43429" w:rsidP="00AA033B">
            <w:pPr>
              <w:autoSpaceDE w:val="0"/>
              <w:autoSpaceDN w:val="0"/>
              <w:adjustRightInd w:val="0"/>
              <w:rPr>
                <w:rFonts w:ascii="Arial" w:hAnsi="Arial" w:cs="Arial"/>
                <w:sz w:val="20"/>
                <w:szCs w:val="20"/>
              </w:rPr>
            </w:pPr>
            <w:r w:rsidRPr="00AA033B">
              <w:rPr>
                <w:rFonts w:ascii="Arial" w:eastAsia="Times New Roman" w:hAnsi="Arial" w:cs="Arial"/>
                <w:sz w:val="20"/>
                <w:szCs w:val="20"/>
                <w:lang w:val="en-AU" w:eastAsia="en-AU"/>
              </w:rPr>
              <w:t>Quarterly Report 1: Completion progress of project</w:t>
            </w:r>
          </w:p>
        </w:tc>
        <w:tc>
          <w:tcPr>
            <w:tcW w:w="1139"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August 2012</w:t>
            </w:r>
          </w:p>
        </w:tc>
        <w:tc>
          <w:tcPr>
            <w:tcW w:w="4675" w:type="dxa"/>
          </w:tcPr>
          <w:p w:rsidR="00F43429" w:rsidRPr="00AA033B" w:rsidRDefault="00F43429" w:rsidP="00AA033B">
            <w:pPr>
              <w:pStyle w:val="Healthtablebody"/>
              <w:rPr>
                <w:rFonts w:cs="Arial"/>
                <w:sz w:val="20"/>
                <w:szCs w:val="20"/>
              </w:rPr>
            </w:pPr>
            <w:r w:rsidRPr="00AA033B">
              <w:rPr>
                <w:rFonts w:cs="Arial"/>
                <w:sz w:val="20"/>
                <w:szCs w:val="20"/>
              </w:rPr>
              <w:t>Complete</w:t>
            </w:r>
          </w:p>
        </w:tc>
      </w:tr>
      <w:tr w:rsidR="00F43429" w:rsidRPr="00AA033B" w:rsidTr="00AA033B">
        <w:tc>
          <w:tcPr>
            <w:tcW w:w="2375"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 xml:space="preserve">Engage builders </w:t>
            </w:r>
          </w:p>
        </w:tc>
        <w:tc>
          <w:tcPr>
            <w:tcW w:w="1984"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Quarterly Report 2: Completion progress of project</w:t>
            </w:r>
          </w:p>
        </w:tc>
        <w:tc>
          <w:tcPr>
            <w:tcW w:w="1139"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February</w:t>
            </w:r>
          </w:p>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2013</w:t>
            </w:r>
          </w:p>
        </w:tc>
        <w:tc>
          <w:tcPr>
            <w:tcW w:w="4675" w:type="dxa"/>
          </w:tcPr>
          <w:p w:rsidR="00F43429" w:rsidRPr="00AA033B" w:rsidRDefault="00F43429" w:rsidP="00F43429">
            <w:pPr>
              <w:pStyle w:val="Healthtablebody"/>
              <w:rPr>
                <w:rFonts w:cs="Arial"/>
                <w:sz w:val="20"/>
                <w:szCs w:val="20"/>
              </w:rPr>
            </w:pPr>
            <w:r w:rsidRPr="00AA033B">
              <w:rPr>
                <w:rFonts w:cs="Arial"/>
                <w:sz w:val="20"/>
                <w:szCs w:val="20"/>
              </w:rPr>
              <w:t>Complete</w:t>
            </w:r>
          </w:p>
        </w:tc>
      </w:tr>
      <w:tr w:rsidR="00F43429" w:rsidRPr="00AA033B" w:rsidTr="00AA033B">
        <w:tc>
          <w:tcPr>
            <w:tcW w:w="2375"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Complete works as per refined</w:t>
            </w:r>
          </w:p>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scope &amp; budget</w:t>
            </w:r>
          </w:p>
        </w:tc>
        <w:tc>
          <w:tcPr>
            <w:tcW w:w="1984"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Quarterly Report 3: Completion progress of project</w:t>
            </w:r>
          </w:p>
        </w:tc>
        <w:tc>
          <w:tcPr>
            <w:tcW w:w="1139" w:type="dxa"/>
          </w:tcPr>
          <w:p w:rsidR="00F43429" w:rsidRPr="00AA033B" w:rsidRDefault="00C75093" w:rsidP="00AA033B">
            <w:pPr>
              <w:autoSpaceDE w:val="0"/>
              <w:autoSpaceDN w:val="0"/>
              <w:adjustRightInd w:val="0"/>
              <w:rPr>
                <w:rFonts w:ascii="Arial" w:eastAsia="Times New Roman" w:hAnsi="Arial" w:cs="Arial"/>
                <w:sz w:val="20"/>
                <w:szCs w:val="20"/>
                <w:lang w:val="en-AU" w:eastAsia="en-AU"/>
              </w:rPr>
            </w:pPr>
            <w:r>
              <w:rPr>
                <w:rFonts w:ascii="Arial" w:eastAsia="Times New Roman" w:hAnsi="Arial" w:cs="Arial"/>
                <w:sz w:val="20"/>
                <w:szCs w:val="20"/>
                <w:lang w:val="en-AU" w:eastAsia="en-AU"/>
              </w:rPr>
              <w:t>June</w:t>
            </w:r>
            <w:r w:rsidR="00F43429" w:rsidRPr="00AA033B">
              <w:rPr>
                <w:rFonts w:ascii="Arial" w:eastAsia="Times New Roman" w:hAnsi="Arial" w:cs="Arial"/>
                <w:sz w:val="20"/>
                <w:szCs w:val="20"/>
                <w:lang w:val="en-AU" w:eastAsia="en-AU"/>
              </w:rPr>
              <w:t>2013</w:t>
            </w:r>
          </w:p>
        </w:tc>
        <w:tc>
          <w:tcPr>
            <w:tcW w:w="4675" w:type="dxa"/>
          </w:tcPr>
          <w:p w:rsidR="00F43429" w:rsidRPr="00AA033B" w:rsidRDefault="00F43429" w:rsidP="00AA033B">
            <w:pPr>
              <w:pStyle w:val="Healthtablebody"/>
              <w:rPr>
                <w:rFonts w:cs="Arial"/>
                <w:sz w:val="20"/>
                <w:szCs w:val="20"/>
              </w:rPr>
            </w:pPr>
            <w:r w:rsidRPr="00AA033B">
              <w:rPr>
                <w:rFonts w:cs="Arial"/>
                <w:sz w:val="20"/>
                <w:szCs w:val="20"/>
              </w:rPr>
              <w:t>Complete</w:t>
            </w:r>
          </w:p>
        </w:tc>
      </w:tr>
      <w:tr w:rsidR="00F43429" w:rsidRPr="00AA033B" w:rsidTr="00AA033B">
        <w:tc>
          <w:tcPr>
            <w:tcW w:w="2375" w:type="dxa"/>
          </w:tcPr>
          <w:p w:rsidR="00F43429" w:rsidRPr="00AA033B" w:rsidRDefault="00F43429" w:rsidP="00AA033B">
            <w:pPr>
              <w:autoSpaceDE w:val="0"/>
              <w:autoSpaceDN w:val="0"/>
              <w:adjustRightInd w:val="0"/>
              <w:rPr>
                <w:rFonts w:ascii="Arial" w:eastAsia="Times New Roman" w:hAnsi="Arial" w:cs="Arial"/>
                <w:sz w:val="20"/>
                <w:szCs w:val="20"/>
                <w:lang w:val="en-AU" w:eastAsia="en-AU"/>
              </w:rPr>
            </w:pPr>
            <w:r w:rsidRPr="00AA033B">
              <w:rPr>
                <w:rFonts w:ascii="Arial" w:eastAsia="Times New Roman" w:hAnsi="Arial" w:cs="Arial"/>
                <w:sz w:val="20"/>
                <w:szCs w:val="20"/>
                <w:lang w:val="en-AU" w:eastAsia="en-AU"/>
              </w:rPr>
              <w:t>Report on progress and final</w:t>
            </w:r>
          </w:p>
          <w:p w:rsidR="00F43429" w:rsidRPr="00AA033B" w:rsidRDefault="00F43429" w:rsidP="00AA033B">
            <w:pPr>
              <w:pStyle w:val="Healthtablebody"/>
              <w:rPr>
                <w:rFonts w:cs="Arial"/>
                <w:sz w:val="20"/>
                <w:szCs w:val="20"/>
              </w:rPr>
            </w:pPr>
            <w:r w:rsidRPr="00AA033B">
              <w:rPr>
                <w:rFonts w:eastAsia="Times New Roman" w:cs="Arial"/>
                <w:sz w:val="20"/>
                <w:szCs w:val="20"/>
                <w:lang w:eastAsia="en-AU"/>
              </w:rPr>
              <w:t>acquittal</w:t>
            </w:r>
          </w:p>
        </w:tc>
        <w:tc>
          <w:tcPr>
            <w:tcW w:w="1984" w:type="dxa"/>
          </w:tcPr>
          <w:p w:rsidR="00F43429" w:rsidRPr="00AA033B" w:rsidRDefault="00F43429" w:rsidP="00AA033B">
            <w:pPr>
              <w:autoSpaceDE w:val="0"/>
              <w:autoSpaceDN w:val="0"/>
              <w:adjustRightInd w:val="0"/>
              <w:rPr>
                <w:rFonts w:ascii="Arial" w:hAnsi="Arial" w:cs="Arial"/>
                <w:sz w:val="20"/>
                <w:szCs w:val="20"/>
              </w:rPr>
            </w:pPr>
            <w:r w:rsidRPr="00AA033B">
              <w:rPr>
                <w:rFonts w:ascii="Arial" w:eastAsia="Times New Roman" w:hAnsi="Arial" w:cs="Arial"/>
                <w:sz w:val="20"/>
                <w:szCs w:val="20"/>
                <w:lang w:val="en-AU" w:eastAsia="en-AU"/>
              </w:rPr>
              <w:t>Final Report: Completion of project confirmation including financial acquittal of funds</w:t>
            </w:r>
          </w:p>
        </w:tc>
        <w:tc>
          <w:tcPr>
            <w:tcW w:w="1139" w:type="dxa"/>
          </w:tcPr>
          <w:p w:rsidR="00F43429" w:rsidRPr="00AA033B" w:rsidRDefault="00C75093" w:rsidP="00AA033B">
            <w:pPr>
              <w:pStyle w:val="Healthtablebody"/>
              <w:rPr>
                <w:rFonts w:cs="Arial"/>
                <w:sz w:val="20"/>
                <w:szCs w:val="20"/>
              </w:rPr>
            </w:pPr>
            <w:r>
              <w:rPr>
                <w:rFonts w:cs="Arial"/>
                <w:sz w:val="20"/>
                <w:szCs w:val="20"/>
              </w:rPr>
              <w:t>June 2013</w:t>
            </w:r>
          </w:p>
        </w:tc>
        <w:tc>
          <w:tcPr>
            <w:tcW w:w="4675" w:type="dxa"/>
          </w:tcPr>
          <w:p w:rsidR="00F43429" w:rsidRPr="00AA033B" w:rsidRDefault="00B645E9" w:rsidP="00AA033B">
            <w:pPr>
              <w:pStyle w:val="Healthtablebody"/>
              <w:rPr>
                <w:rFonts w:cs="Arial"/>
                <w:sz w:val="20"/>
                <w:szCs w:val="20"/>
              </w:rPr>
            </w:pPr>
            <w:r>
              <w:rPr>
                <w:rFonts w:cs="Arial"/>
                <w:sz w:val="20"/>
                <w:szCs w:val="20"/>
              </w:rPr>
              <w:t>Complete</w:t>
            </w:r>
          </w:p>
        </w:tc>
      </w:tr>
    </w:tbl>
    <w:p w:rsidR="00383179" w:rsidRDefault="00383179" w:rsidP="005932E4">
      <w:pPr>
        <w:rPr>
          <w:rFonts w:ascii="Arial" w:hAnsi="Arial" w:cs="Arial"/>
          <w:u w:val="single"/>
        </w:rPr>
      </w:pPr>
    </w:p>
    <w:p w:rsidR="008C7122" w:rsidRPr="00B702E1" w:rsidRDefault="002200FF" w:rsidP="008C7122">
      <w:pPr>
        <w:numPr>
          <w:ilvl w:val="0"/>
          <w:numId w:val="9"/>
        </w:numPr>
        <w:tabs>
          <w:tab w:val="clear" w:pos="720"/>
        </w:tabs>
        <w:ind w:left="360"/>
        <w:rPr>
          <w:rFonts w:ascii="Arial" w:hAnsi="Arial" w:cs="Arial"/>
          <w:b/>
          <w:u w:val="single"/>
        </w:rPr>
      </w:pPr>
      <w:r w:rsidRPr="00B702E1">
        <w:rPr>
          <w:rFonts w:ascii="Arial" w:hAnsi="Arial" w:cs="Arial"/>
          <w:b/>
          <w:u w:val="single"/>
        </w:rPr>
        <w:t xml:space="preserve">Project Outcomes </w:t>
      </w:r>
    </w:p>
    <w:p w:rsidR="005932E4" w:rsidRDefault="00E03A99" w:rsidP="008A051E">
      <w:pPr>
        <w:pStyle w:val="Healthbody"/>
        <w:ind w:left="284"/>
        <w:rPr>
          <w:i/>
        </w:rPr>
      </w:pPr>
      <w:r w:rsidRPr="00350B84">
        <w:rPr>
          <w:i/>
        </w:rPr>
        <w:t>Please detail the project outcomes? (i.e. increased student numbers, interdisciplinary teaching, new teaching opportunities, simulation opportunities, etc)</w:t>
      </w:r>
    </w:p>
    <w:p w:rsidR="003B138F" w:rsidRPr="00350B84" w:rsidRDefault="003B138F" w:rsidP="008A051E">
      <w:pPr>
        <w:pStyle w:val="Healthbody"/>
        <w:ind w:left="284"/>
        <w:rPr>
          <w:i/>
        </w:rPr>
      </w:pPr>
      <w:r>
        <w:rPr>
          <w:i/>
        </w:rPr>
        <w:t>During the project term the Pethard building at Bendigo Health</w:t>
      </w:r>
      <w:r w:rsidR="00C75093">
        <w:rPr>
          <w:i/>
        </w:rPr>
        <w:t>,</w:t>
      </w:r>
      <w:r>
        <w:rPr>
          <w:i/>
        </w:rPr>
        <w:t xml:space="preserve"> which originally housed clinical students</w:t>
      </w:r>
      <w:r w:rsidR="00C75093">
        <w:rPr>
          <w:i/>
        </w:rPr>
        <w:t>,</w:t>
      </w:r>
      <w:r>
        <w:rPr>
          <w:i/>
        </w:rPr>
        <w:t xml:space="preserve"> was demolished as part of the New Bendigo Hospital project. As a result</w:t>
      </w:r>
      <w:r w:rsidR="00C75093">
        <w:rPr>
          <w:i/>
        </w:rPr>
        <w:t>,</w:t>
      </w:r>
      <w:r>
        <w:rPr>
          <w:i/>
        </w:rPr>
        <w:t xml:space="preserve"> 24 beds were lost to clinical students at Bendigo Health. Fortunately the refurbishment of the clinical student accommodation enabled these students to be housed in the Nolan street apartments. The accommodation has been fully occupied from the date of renovation completion</w:t>
      </w:r>
      <w:r w:rsidR="00476416">
        <w:rPr>
          <w:i/>
        </w:rPr>
        <w:t xml:space="preserve">. Although the accommodation represents less beds in total compared to what was available at the Pethard complex there have been no reports that accommodation </w:t>
      </w:r>
      <w:r w:rsidR="00C75093">
        <w:rPr>
          <w:i/>
        </w:rPr>
        <w:t>has been a barrier to</w:t>
      </w:r>
      <w:r w:rsidR="00476416">
        <w:rPr>
          <w:i/>
        </w:rPr>
        <w:t xml:space="preserve"> accept</w:t>
      </w:r>
      <w:r w:rsidR="00C75093">
        <w:rPr>
          <w:i/>
        </w:rPr>
        <w:t>ing</w:t>
      </w:r>
      <w:r w:rsidR="00476416">
        <w:rPr>
          <w:i/>
        </w:rPr>
        <w:t xml:space="preserve"> </w:t>
      </w:r>
      <w:r w:rsidR="00C75093">
        <w:rPr>
          <w:i/>
        </w:rPr>
        <w:t>clinical</w:t>
      </w:r>
      <w:r w:rsidR="00476416">
        <w:rPr>
          <w:i/>
        </w:rPr>
        <w:t xml:space="preserve"> placement</w:t>
      </w:r>
      <w:r w:rsidR="00C75093">
        <w:rPr>
          <w:i/>
        </w:rPr>
        <w:t>s</w:t>
      </w:r>
      <w:r w:rsidR="00476416">
        <w:rPr>
          <w:i/>
        </w:rPr>
        <w:t>.</w:t>
      </w:r>
    </w:p>
    <w:p w:rsidR="008C7122" w:rsidRPr="005E208F" w:rsidRDefault="008C7122" w:rsidP="008C7122">
      <w:pPr>
        <w:rPr>
          <w:rFonts w:ascii="Arial" w:hAnsi="Arial" w:cs="Arial"/>
          <w:sz w:val="22"/>
          <w:szCs w:val="22"/>
        </w:rPr>
      </w:pPr>
    </w:p>
    <w:p w:rsidR="006F7851" w:rsidRDefault="00EE5A48" w:rsidP="001F1B0A">
      <w:pPr>
        <w:numPr>
          <w:ilvl w:val="0"/>
          <w:numId w:val="9"/>
        </w:numPr>
        <w:tabs>
          <w:tab w:val="clear" w:pos="720"/>
        </w:tabs>
        <w:ind w:left="360"/>
        <w:rPr>
          <w:rFonts w:ascii="Arial" w:hAnsi="Arial" w:cs="Arial"/>
          <w:b/>
          <w:u w:val="single"/>
        </w:rPr>
      </w:pPr>
      <w:r>
        <w:rPr>
          <w:rFonts w:ascii="Arial" w:hAnsi="Arial" w:cs="Arial"/>
          <w:b/>
          <w:u w:val="single"/>
        </w:rPr>
        <w:t>Evaluation</w:t>
      </w:r>
    </w:p>
    <w:p w:rsidR="00EE5A48" w:rsidRDefault="00EE5A48" w:rsidP="008A051E">
      <w:pPr>
        <w:pStyle w:val="Healthbody"/>
        <w:ind w:firstLine="284"/>
        <w:rPr>
          <w:i/>
        </w:rPr>
      </w:pPr>
      <w:r w:rsidRPr="00350B84">
        <w:rPr>
          <w:i/>
        </w:rPr>
        <w:t xml:space="preserve">What were the positive aspects of the small capital and equipment program? </w:t>
      </w:r>
    </w:p>
    <w:p w:rsidR="00EE75D5" w:rsidRDefault="00B645E9">
      <w:pPr>
        <w:pStyle w:val="Healthbody"/>
        <w:ind w:left="284"/>
        <w:rPr>
          <w:i/>
        </w:rPr>
      </w:pPr>
      <w:r>
        <w:rPr>
          <w:i/>
        </w:rPr>
        <w:t>Fewer complaints are being received about the accommodation provided at Bendigo Health as a result of this project. Maintenance calls have also reduced as a result of the refurbishment.</w:t>
      </w:r>
      <w:r w:rsidR="003B138F" w:rsidRPr="003B138F">
        <w:rPr>
          <w:rFonts w:eastAsia="Times New Roman" w:cs="Arial"/>
          <w:i/>
          <w:szCs w:val="20"/>
          <w:lang w:eastAsia="en-AU"/>
        </w:rPr>
        <w:t xml:space="preserve"> </w:t>
      </w:r>
      <w:r w:rsidR="003B138F">
        <w:rPr>
          <w:rFonts w:eastAsia="Times New Roman" w:cs="Arial"/>
          <w:i/>
          <w:szCs w:val="20"/>
          <w:lang w:eastAsia="en-AU"/>
        </w:rPr>
        <w:t>Despite delays to the build, all renovations on the buildings themselves were completed during the project term and occupied by clinical students,</w:t>
      </w:r>
      <w:r w:rsidR="00476416">
        <w:rPr>
          <w:rFonts w:eastAsia="Times New Roman" w:cs="Arial"/>
          <w:i/>
          <w:szCs w:val="20"/>
          <w:lang w:eastAsia="en-AU"/>
        </w:rPr>
        <w:t xml:space="preserve"> The accommodation will be evaluated under the Best Practice Clinical Learning Environment (BPCLE) framework indicators. This ongoing evaluation will provide longitudinal qualitative and quantitative measure of the impact that this infrastructure project has on the quantity and quality of clinical placements provided at Bendigo Health.</w:t>
      </w:r>
    </w:p>
    <w:p w:rsidR="00B645E9" w:rsidRDefault="00EE5A48" w:rsidP="00FA76B7">
      <w:pPr>
        <w:pStyle w:val="Healthbody"/>
        <w:ind w:firstLine="284"/>
        <w:rPr>
          <w:i/>
        </w:rPr>
      </w:pPr>
      <w:r w:rsidRPr="00350B84">
        <w:rPr>
          <w:i/>
        </w:rPr>
        <w:t>What didn</w:t>
      </w:r>
      <w:r w:rsidR="00FA76B7" w:rsidRPr="00350B84">
        <w:rPr>
          <w:i/>
        </w:rPr>
        <w:t xml:space="preserve">’t work or was most difficult? </w:t>
      </w:r>
    </w:p>
    <w:p w:rsidR="003B138F" w:rsidRDefault="003B138F" w:rsidP="003B138F">
      <w:pPr>
        <w:pStyle w:val="Healthbody"/>
        <w:ind w:firstLine="284"/>
        <w:rPr>
          <w:rFonts w:eastAsia="Times New Roman" w:cs="Arial"/>
          <w:i/>
          <w:szCs w:val="20"/>
          <w:lang w:eastAsia="en-AU"/>
        </w:rPr>
      </w:pPr>
      <w:r w:rsidRPr="00B645E9">
        <w:rPr>
          <w:rFonts w:eastAsia="Times New Roman" w:cs="Arial"/>
          <w:i/>
          <w:szCs w:val="20"/>
          <w:lang w:eastAsia="en-AU"/>
        </w:rPr>
        <w:t xml:space="preserve">The </w:t>
      </w:r>
      <w:r>
        <w:rPr>
          <w:rFonts w:eastAsia="Times New Roman" w:cs="Arial"/>
          <w:i/>
          <w:szCs w:val="20"/>
          <w:lang w:eastAsia="en-AU"/>
        </w:rPr>
        <w:t xml:space="preserve">three largest </w:t>
      </w:r>
      <w:r w:rsidRPr="00B645E9">
        <w:rPr>
          <w:rFonts w:eastAsia="Times New Roman" w:cs="Arial"/>
          <w:i/>
          <w:szCs w:val="20"/>
          <w:lang w:eastAsia="en-AU"/>
        </w:rPr>
        <w:t>delay</w:t>
      </w:r>
      <w:r>
        <w:rPr>
          <w:rFonts w:eastAsia="Times New Roman" w:cs="Arial"/>
          <w:i/>
          <w:szCs w:val="20"/>
          <w:lang w:eastAsia="en-AU"/>
        </w:rPr>
        <w:t>s</w:t>
      </w:r>
      <w:r w:rsidRPr="00B645E9">
        <w:rPr>
          <w:rFonts w:eastAsia="Times New Roman" w:cs="Arial"/>
          <w:i/>
          <w:szCs w:val="20"/>
          <w:lang w:eastAsia="en-AU"/>
        </w:rPr>
        <w:t xml:space="preserve"> to this project w</w:t>
      </w:r>
      <w:r>
        <w:rPr>
          <w:rFonts w:eastAsia="Times New Roman" w:cs="Arial"/>
          <w:i/>
          <w:szCs w:val="20"/>
          <w:lang w:eastAsia="en-AU"/>
        </w:rPr>
        <w:t>ere:</w:t>
      </w:r>
    </w:p>
    <w:p w:rsidR="003B138F" w:rsidRDefault="003B138F" w:rsidP="003B138F">
      <w:pPr>
        <w:pStyle w:val="Healthbody"/>
        <w:numPr>
          <w:ilvl w:val="0"/>
          <w:numId w:val="18"/>
        </w:numPr>
        <w:rPr>
          <w:rFonts w:eastAsia="Times New Roman" w:cs="Arial"/>
          <w:i/>
          <w:szCs w:val="20"/>
          <w:lang w:eastAsia="en-AU"/>
        </w:rPr>
      </w:pPr>
      <w:r>
        <w:rPr>
          <w:rFonts w:eastAsia="Times New Roman" w:cs="Arial"/>
          <w:i/>
          <w:szCs w:val="20"/>
          <w:lang w:eastAsia="en-AU"/>
        </w:rPr>
        <w:t xml:space="preserve"> </w:t>
      </w:r>
      <w:proofErr w:type="gramStart"/>
      <w:r>
        <w:rPr>
          <w:rFonts w:eastAsia="Times New Roman" w:cs="Arial"/>
          <w:i/>
          <w:szCs w:val="20"/>
          <w:lang w:eastAsia="en-AU"/>
        </w:rPr>
        <w:t>getting</w:t>
      </w:r>
      <w:proofErr w:type="gramEnd"/>
      <w:r>
        <w:rPr>
          <w:rFonts w:eastAsia="Times New Roman" w:cs="Arial"/>
          <w:i/>
          <w:szCs w:val="20"/>
          <w:lang w:eastAsia="en-AU"/>
        </w:rPr>
        <w:t xml:space="preserve"> the project prioritised by </w:t>
      </w:r>
      <w:r w:rsidR="005139C5">
        <w:rPr>
          <w:rFonts w:eastAsia="Times New Roman" w:cs="Arial"/>
          <w:i/>
          <w:szCs w:val="20"/>
          <w:lang w:eastAsia="en-AU"/>
        </w:rPr>
        <w:t>Bendigo Health due to competing projects.</w:t>
      </w:r>
      <w:r>
        <w:rPr>
          <w:rFonts w:eastAsia="Times New Roman" w:cs="Arial"/>
          <w:i/>
          <w:szCs w:val="20"/>
          <w:lang w:eastAsia="en-AU"/>
        </w:rPr>
        <w:t xml:space="preserve"> </w:t>
      </w:r>
    </w:p>
    <w:p w:rsidR="00476416" w:rsidRDefault="00476416" w:rsidP="00476416">
      <w:pPr>
        <w:pStyle w:val="Healthbody"/>
        <w:numPr>
          <w:ilvl w:val="0"/>
          <w:numId w:val="18"/>
        </w:numPr>
        <w:rPr>
          <w:rFonts w:eastAsia="Times New Roman" w:cs="Arial"/>
          <w:i/>
          <w:szCs w:val="20"/>
          <w:lang w:eastAsia="en-AU"/>
        </w:rPr>
      </w:pPr>
      <w:r>
        <w:rPr>
          <w:rFonts w:eastAsia="Times New Roman" w:cs="Arial"/>
          <w:i/>
          <w:szCs w:val="20"/>
          <w:lang w:eastAsia="en-AU"/>
        </w:rPr>
        <w:lastRenderedPageBreak/>
        <w:t>Obtaining</w:t>
      </w:r>
      <w:r w:rsidRPr="00B645E9">
        <w:rPr>
          <w:rFonts w:eastAsia="Times New Roman" w:cs="Arial"/>
          <w:i/>
          <w:szCs w:val="20"/>
          <w:lang w:eastAsia="en-AU"/>
        </w:rPr>
        <w:t xml:space="preserve"> </w:t>
      </w:r>
      <w:r>
        <w:rPr>
          <w:rFonts w:eastAsia="Times New Roman" w:cs="Arial"/>
          <w:i/>
          <w:szCs w:val="20"/>
          <w:lang w:eastAsia="en-AU"/>
        </w:rPr>
        <w:t xml:space="preserve">Bendigo City </w:t>
      </w:r>
      <w:r w:rsidRPr="00B645E9">
        <w:rPr>
          <w:rFonts w:eastAsia="Times New Roman" w:cs="Arial"/>
          <w:i/>
          <w:szCs w:val="20"/>
          <w:lang w:eastAsia="en-AU"/>
        </w:rPr>
        <w:t>council approval</w:t>
      </w:r>
      <w:r>
        <w:rPr>
          <w:rFonts w:eastAsia="Times New Roman" w:cs="Arial"/>
          <w:i/>
          <w:szCs w:val="20"/>
          <w:lang w:eastAsia="en-AU"/>
        </w:rPr>
        <w:t xml:space="preserve"> to build the study centre on the front of the block. </w:t>
      </w:r>
    </w:p>
    <w:p w:rsidR="003B138F" w:rsidRDefault="003B138F" w:rsidP="003B138F">
      <w:pPr>
        <w:pStyle w:val="Healthbody"/>
        <w:numPr>
          <w:ilvl w:val="0"/>
          <w:numId w:val="18"/>
        </w:numPr>
        <w:rPr>
          <w:rFonts w:eastAsia="Times New Roman" w:cs="Arial"/>
          <w:i/>
          <w:szCs w:val="20"/>
          <w:lang w:eastAsia="en-AU"/>
        </w:rPr>
      </w:pPr>
      <w:r>
        <w:rPr>
          <w:rFonts w:eastAsia="Times New Roman" w:cs="Arial"/>
          <w:i/>
          <w:szCs w:val="20"/>
          <w:lang w:eastAsia="en-AU"/>
        </w:rPr>
        <w:t xml:space="preserve">Finding the ground in one corner of the build </w:t>
      </w:r>
      <w:r w:rsidR="005139C5">
        <w:rPr>
          <w:rFonts w:eastAsia="Times New Roman" w:cs="Arial"/>
          <w:i/>
          <w:szCs w:val="20"/>
          <w:lang w:eastAsia="en-AU"/>
        </w:rPr>
        <w:t>unstable which caused delay whilst re engineering the slab design.</w:t>
      </w:r>
    </w:p>
    <w:p w:rsidR="00B645E9" w:rsidRDefault="00B645E9" w:rsidP="00FA76B7">
      <w:pPr>
        <w:pStyle w:val="Healthbody"/>
        <w:ind w:firstLine="284"/>
        <w:rPr>
          <w:i/>
        </w:rPr>
      </w:pPr>
    </w:p>
    <w:p w:rsidR="008A051E" w:rsidRDefault="00152349" w:rsidP="00FA76B7">
      <w:pPr>
        <w:pStyle w:val="Healthbody"/>
        <w:ind w:firstLine="284"/>
        <w:rPr>
          <w:i/>
        </w:rPr>
      </w:pPr>
      <w:r w:rsidRPr="00350B84">
        <w:rPr>
          <w:i/>
        </w:rPr>
        <w:t xml:space="preserve">Did the project run to budget? </w:t>
      </w:r>
    </w:p>
    <w:p w:rsidR="00B645E9" w:rsidRPr="00B645E9" w:rsidRDefault="00661D9A" w:rsidP="00FA76B7">
      <w:pPr>
        <w:pStyle w:val="Healthbody"/>
        <w:ind w:firstLine="284"/>
        <w:rPr>
          <w:rFonts w:eastAsia="Times New Roman" w:cs="Arial"/>
          <w:i/>
          <w:szCs w:val="20"/>
          <w:lang w:eastAsia="en-AU"/>
        </w:rPr>
      </w:pPr>
      <w:r w:rsidRPr="00661D9A">
        <w:rPr>
          <w:rFonts w:eastAsia="Times New Roman" w:cs="Arial"/>
          <w:i/>
          <w:szCs w:val="20"/>
          <w:lang w:eastAsia="en-AU"/>
        </w:rPr>
        <w:t>The project ran to budget</w:t>
      </w:r>
    </w:p>
    <w:p w:rsidR="00EE5A48" w:rsidRPr="00350B84" w:rsidRDefault="00EE5A48" w:rsidP="008A051E">
      <w:pPr>
        <w:pStyle w:val="Healthbody"/>
        <w:ind w:firstLine="284"/>
        <w:rPr>
          <w:i/>
        </w:rPr>
      </w:pPr>
      <w:r w:rsidRPr="00350B84">
        <w:rPr>
          <w:i/>
        </w:rPr>
        <w:t xml:space="preserve">What are the key learning from this program to take forward? </w:t>
      </w:r>
    </w:p>
    <w:p w:rsidR="00EE75D5" w:rsidRDefault="003B138F">
      <w:pPr>
        <w:pStyle w:val="Healthbody"/>
        <w:ind w:left="284"/>
        <w:rPr>
          <w:rFonts w:eastAsia="Times New Roman" w:cs="Arial"/>
          <w:i/>
          <w:szCs w:val="20"/>
          <w:lang w:eastAsia="en-AU"/>
        </w:rPr>
      </w:pPr>
      <w:r>
        <w:rPr>
          <w:rFonts w:eastAsia="Times New Roman" w:cs="Arial"/>
          <w:i/>
          <w:szCs w:val="20"/>
          <w:lang w:eastAsia="en-AU"/>
        </w:rPr>
        <w:t>The major learning from this project is that b</w:t>
      </w:r>
      <w:r w:rsidR="006C2F9C">
        <w:rPr>
          <w:rFonts w:eastAsia="Times New Roman" w:cs="Arial"/>
          <w:i/>
          <w:szCs w:val="20"/>
          <w:lang w:eastAsia="en-AU"/>
        </w:rPr>
        <w:t xml:space="preserve">uilding projects in future will be referred earlier to the Equipment, Product, Space, Infrastructure Management </w:t>
      </w:r>
      <w:r>
        <w:rPr>
          <w:rFonts w:eastAsia="Times New Roman" w:cs="Arial"/>
          <w:i/>
          <w:szCs w:val="20"/>
          <w:lang w:eastAsia="en-AU"/>
        </w:rPr>
        <w:t xml:space="preserve">(EPSIM) </w:t>
      </w:r>
      <w:r w:rsidR="006C2F9C">
        <w:rPr>
          <w:rFonts w:eastAsia="Times New Roman" w:cs="Arial"/>
          <w:i/>
          <w:szCs w:val="20"/>
          <w:lang w:eastAsia="en-AU"/>
        </w:rPr>
        <w:t xml:space="preserve">Committee at the time </w:t>
      </w:r>
      <w:r>
        <w:rPr>
          <w:rFonts w:eastAsia="Times New Roman" w:cs="Arial"/>
          <w:i/>
          <w:szCs w:val="20"/>
          <w:lang w:eastAsia="en-AU"/>
        </w:rPr>
        <w:t>they are</w:t>
      </w:r>
      <w:r w:rsidR="006C2F9C">
        <w:rPr>
          <w:rFonts w:eastAsia="Times New Roman" w:cs="Arial"/>
          <w:i/>
          <w:szCs w:val="20"/>
          <w:lang w:eastAsia="en-AU"/>
        </w:rPr>
        <w:t xml:space="preserve"> funded to navigate internal competition for resources and commence council approvals so as not to unduly delay project completion dates into the future.</w:t>
      </w:r>
    </w:p>
    <w:p w:rsidR="00EE75D5" w:rsidRDefault="003B138F">
      <w:pPr>
        <w:pStyle w:val="Healthbody"/>
        <w:ind w:left="284"/>
        <w:rPr>
          <w:rFonts w:eastAsia="Times New Roman" w:cs="Arial"/>
          <w:i/>
          <w:szCs w:val="20"/>
          <w:lang w:eastAsia="en-AU"/>
        </w:rPr>
      </w:pPr>
      <w:r>
        <w:rPr>
          <w:rFonts w:eastAsia="Times New Roman" w:cs="Arial"/>
          <w:i/>
          <w:szCs w:val="20"/>
          <w:lang w:eastAsia="en-AU"/>
        </w:rPr>
        <w:t>Future building projects of this nature will</w:t>
      </w:r>
      <w:r w:rsidR="005139C5">
        <w:rPr>
          <w:rFonts w:eastAsia="Times New Roman" w:cs="Arial"/>
          <w:i/>
          <w:szCs w:val="20"/>
          <w:lang w:eastAsia="en-AU"/>
        </w:rPr>
        <w:t xml:space="preserve"> include a formal risk assessment</w:t>
      </w:r>
      <w:r w:rsidR="00E640A0">
        <w:rPr>
          <w:rFonts w:eastAsia="Times New Roman" w:cs="Arial"/>
          <w:i/>
          <w:szCs w:val="20"/>
          <w:lang w:eastAsia="en-AU"/>
        </w:rPr>
        <w:t xml:space="preserve"> and risk matrix in an</w:t>
      </w:r>
      <w:r w:rsidR="005139C5">
        <w:rPr>
          <w:rFonts w:eastAsia="Times New Roman" w:cs="Arial"/>
          <w:i/>
          <w:szCs w:val="20"/>
          <w:lang w:eastAsia="en-AU"/>
        </w:rPr>
        <w:t xml:space="preserve"> attempt to identify any potential concerns with construction delays to ensure all </w:t>
      </w:r>
      <w:r w:rsidR="00F85AA5">
        <w:rPr>
          <w:rFonts w:eastAsia="Times New Roman" w:cs="Arial"/>
          <w:i/>
          <w:szCs w:val="20"/>
          <w:lang w:eastAsia="en-AU"/>
        </w:rPr>
        <w:t>stakeholders</w:t>
      </w:r>
      <w:r w:rsidR="005139C5">
        <w:rPr>
          <w:rFonts w:eastAsia="Times New Roman" w:cs="Arial"/>
          <w:i/>
          <w:szCs w:val="20"/>
          <w:lang w:eastAsia="en-AU"/>
        </w:rPr>
        <w:t xml:space="preserve"> are aware of potential risks.</w:t>
      </w:r>
      <w:r>
        <w:rPr>
          <w:rFonts w:eastAsia="Times New Roman" w:cs="Arial"/>
          <w:i/>
          <w:szCs w:val="20"/>
          <w:lang w:eastAsia="en-AU"/>
        </w:rPr>
        <w:t xml:space="preserve"> </w:t>
      </w:r>
    </w:p>
    <w:p w:rsidR="00B645E9" w:rsidRDefault="00B645E9" w:rsidP="006F7851">
      <w:pPr>
        <w:rPr>
          <w:rFonts w:ascii="Arial" w:hAnsi="Arial" w:cs="Arial"/>
          <w:b/>
          <w:u w:val="single"/>
        </w:rPr>
      </w:pPr>
    </w:p>
    <w:p w:rsidR="000C7BCB" w:rsidRPr="00B702E1" w:rsidRDefault="002200FF" w:rsidP="001F1B0A">
      <w:pPr>
        <w:numPr>
          <w:ilvl w:val="0"/>
          <w:numId w:val="9"/>
        </w:numPr>
        <w:tabs>
          <w:tab w:val="clear" w:pos="720"/>
        </w:tabs>
        <w:ind w:left="360"/>
        <w:rPr>
          <w:rFonts w:ascii="Arial" w:hAnsi="Arial" w:cs="Arial"/>
          <w:b/>
          <w:u w:val="single"/>
        </w:rPr>
      </w:pPr>
      <w:r w:rsidRPr="00B702E1">
        <w:rPr>
          <w:rFonts w:ascii="Arial" w:hAnsi="Arial" w:cs="Arial"/>
          <w:b/>
          <w:u w:val="single"/>
        </w:rPr>
        <w:t xml:space="preserve">Conclusion </w:t>
      </w:r>
    </w:p>
    <w:p w:rsidR="00476416" w:rsidRDefault="00476416" w:rsidP="00637D81">
      <w:pPr>
        <w:rPr>
          <w:rFonts w:ascii="Arial" w:eastAsia="Times New Roman" w:hAnsi="Arial" w:cs="Arial"/>
          <w:i/>
          <w:sz w:val="20"/>
          <w:szCs w:val="20"/>
          <w:lang w:val="en-AU" w:eastAsia="en-AU"/>
        </w:rPr>
      </w:pPr>
    </w:p>
    <w:p w:rsidR="00FB74F7" w:rsidRDefault="00476416" w:rsidP="00637D81">
      <w:pPr>
        <w:rPr>
          <w:rFonts w:ascii="Arial" w:eastAsia="Times New Roman" w:hAnsi="Arial" w:cs="Arial"/>
          <w:i/>
          <w:sz w:val="20"/>
          <w:szCs w:val="20"/>
          <w:lang w:val="en-AU" w:eastAsia="en-AU"/>
        </w:rPr>
      </w:pPr>
      <w:r>
        <w:rPr>
          <w:rFonts w:ascii="Arial" w:eastAsia="Times New Roman" w:hAnsi="Arial" w:cs="Arial"/>
          <w:i/>
          <w:sz w:val="20"/>
          <w:szCs w:val="20"/>
          <w:lang w:val="en-AU" w:eastAsia="en-AU"/>
        </w:rPr>
        <w:t>T</w:t>
      </w:r>
      <w:r w:rsidR="00661D9A" w:rsidRPr="00661D9A">
        <w:rPr>
          <w:rFonts w:ascii="Arial" w:eastAsia="Times New Roman" w:hAnsi="Arial" w:cs="Arial"/>
          <w:i/>
          <w:sz w:val="20"/>
          <w:szCs w:val="20"/>
          <w:lang w:val="en-AU" w:eastAsia="en-AU"/>
        </w:rPr>
        <w:t>he</w:t>
      </w:r>
      <w:r>
        <w:rPr>
          <w:rFonts w:ascii="Arial" w:eastAsia="Times New Roman" w:hAnsi="Arial" w:cs="Arial"/>
          <w:i/>
          <w:sz w:val="20"/>
          <w:szCs w:val="20"/>
          <w:lang w:val="en-AU" w:eastAsia="en-AU"/>
        </w:rPr>
        <w:t xml:space="preserve"> demolition of the Pethard student accommodation building as part of the new Bendigo Hospital Project was going to see a serious student accommodation shortage in Bendigo. The Rural Accommodation and Infrastructure funds </w:t>
      </w:r>
      <w:r w:rsidR="00FB74F7">
        <w:rPr>
          <w:rFonts w:ascii="Arial" w:eastAsia="Times New Roman" w:hAnsi="Arial" w:cs="Arial"/>
          <w:i/>
          <w:sz w:val="20"/>
          <w:szCs w:val="20"/>
          <w:lang w:val="en-AU" w:eastAsia="en-AU"/>
        </w:rPr>
        <w:t>received</w:t>
      </w:r>
      <w:r>
        <w:rPr>
          <w:rFonts w:ascii="Arial" w:eastAsia="Times New Roman" w:hAnsi="Arial" w:cs="Arial"/>
          <w:i/>
          <w:sz w:val="20"/>
          <w:szCs w:val="20"/>
          <w:lang w:val="en-AU" w:eastAsia="en-AU"/>
        </w:rPr>
        <w:t xml:space="preserve"> provided the opportunity to refurbish some accommodation previously dedicated to medical staff in close proximity to the hospital. </w:t>
      </w:r>
    </w:p>
    <w:p w:rsidR="00FB74F7" w:rsidRDefault="00FB74F7" w:rsidP="00637D81">
      <w:pPr>
        <w:rPr>
          <w:rFonts w:ascii="Arial" w:eastAsia="Times New Roman" w:hAnsi="Arial" w:cs="Arial"/>
          <w:i/>
          <w:sz w:val="20"/>
          <w:szCs w:val="20"/>
          <w:lang w:val="en-AU" w:eastAsia="en-AU"/>
        </w:rPr>
      </w:pPr>
    </w:p>
    <w:p w:rsidR="00637D81" w:rsidRDefault="00476416" w:rsidP="00637D81">
      <w:pPr>
        <w:rPr>
          <w:rFonts w:ascii="Arial" w:eastAsia="Times New Roman" w:hAnsi="Arial" w:cs="Arial"/>
          <w:i/>
          <w:sz w:val="20"/>
          <w:szCs w:val="20"/>
          <w:lang w:val="en-AU" w:eastAsia="en-AU"/>
        </w:rPr>
      </w:pPr>
      <w:r>
        <w:rPr>
          <w:rFonts w:ascii="Arial" w:eastAsia="Times New Roman" w:hAnsi="Arial" w:cs="Arial"/>
          <w:i/>
          <w:sz w:val="20"/>
          <w:szCs w:val="20"/>
          <w:lang w:val="en-AU" w:eastAsia="en-AU"/>
        </w:rPr>
        <w:t>Medical staff have now been relocated and the accommodation loss</w:t>
      </w:r>
      <w:r w:rsidR="00FB74F7">
        <w:rPr>
          <w:rFonts w:ascii="Arial" w:eastAsia="Times New Roman" w:hAnsi="Arial" w:cs="Arial"/>
          <w:i/>
          <w:sz w:val="20"/>
          <w:szCs w:val="20"/>
          <w:lang w:val="en-AU" w:eastAsia="en-AU"/>
        </w:rPr>
        <w:t xml:space="preserve"> of Pethard has been filled with the Lucan street student accommodation gain. The funding was timely and is being appreciated by students who up until 2013 have been housed in accommodation which had not been updated since the 80’s and the kitchens had been locked due to posing a serious health and safety risk.</w:t>
      </w:r>
      <w:r>
        <w:rPr>
          <w:rFonts w:ascii="Arial" w:eastAsia="Times New Roman" w:hAnsi="Arial" w:cs="Arial"/>
          <w:i/>
          <w:sz w:val="20"/>
          <w:szCs w:val="20"/>
          <w:lang w:val="en-AU" w:eastAsia="en-AU"/>
        </w:rPr>
        <w:t xml:space="preserve"> </w:t>
      </w:r>
      <w:r w:rsidR="00661D9A" w:rsidRPr="00661D9A">
        <w:rPr>
          <w:rFonts w:ascii="Arial" w:eastAsia="Times New Roman" w:hAnsi="Arial" w:cs="Arial"/>
          <w:i/>
          <w:sz w:val="20"/>
          <w:szCs w:val="20"/>
          <w:lang w:val="en-AU" w:eastAsia="en-AU"/>
        </w:rPr>
        <w:t xml:space="preserve"> </w:t>
      </w:r>
    </w:p>
    <w:p w:rsidR="00FB74F7" w:rsidRDefault="00FB74F7" w:rsidP="00637D81">
      <w:pPr>
        <w:rPr>
          <w:rFonts w:ascii="Arial" w:eastAsia="Times New Roman" w:hAnsi="Arial" w:cs="Arial"/>
          <w:i/>
          <w:sz w:val="20"/>
          <w:szCs w:val="20"/>
          <w:lang w:val="en-AU" w:eastAsia="en-AU"/>
        </w:rPr>
      </w:pPr>
    </w:p>
    <w:p w:rsidR="00FB74F7" w:rsidRDefault="00FB74F7" w:rsidP="00637D81">
      <w:pPr>
        <w:rPr>
          <w:rFonts w:ascii="Arial" w:eastAsia="Times New Roman" w:hAnsi="Arial" w:cs="Arial"/>
          <w:i/>
          <w:sz w:val="20"/>
          <w:szCs w:val="20"/>
          <w:lang w:val="en-AU" w:eastAsia="en-AU"/>
        </w:rPr>
      </w:pPr>
      <w:r>
        <w:rPr>
          <w:rFonts w:ascii="Arial" w:eastAsia="Times New Roman" w:hAnsi="Arial" w:cs="Arial"/>
          <w:i/>
          <w:sz w:val="20"/>
          <w:szCs w:val="20"/>
          <w:lang w:val="en-AU" w:eastAsia="en-AU"/>
        </w:rPr>
        <w:t xml:space="preserve">The project was completed on budget with some delay which are identified in this report and Bendigo Health’s internal building processes have gained from the experience the need for projects to be referred earlier to its EPSIM Committee, to get council approvals in earlier and to soil test more broadly. </w:t>
      </w:r>
    </w:p>
    <w:p w:rsidR="00FB74F7" w:rsidRDefault="00FB74F7" w:rsidP="00637D81">
      <w:pPr>
        <w:rPr>
          <w:rFonts w:ascii="Arial" w:eastAsia="Times New Roman" w:hAnsi="Arial" w:cs="Arial"/>
          <w:i/>
          <w:sz w:val="20"/>
          <w:szCs w:val="20"/>
          <w:lang w:val="en-AU" w:eastAsia="en-AU"/>
        </w:rPr>
      </w:pPr>
    </w:p>
    <w:p w:rsidR="00FB74F7" w:rsidRPr="00476416" w:rsidRDefault="00FB74F7" w:rsidP="00637D81">
      <w:pPr>
        <w:rPr>
          <w:rFonts w:ascii="Arial" w:eastAsia="Times New Roman" w:hAnsi="Arial" w:cs="Arial"/>
          <w:i/>
          <w:sz w:val="20"/>
          <w:szCs w:val="20"/>
          <w:lang w:val="en-AU" w:eastAsia="en-AU"/>
        </w:rPr>
      </w:pPr>
      <w:r>
        <w:rPr>
          <w:rFonts w:ascii="Arial" w:eastAsia="Times New Roman" w:hAnsi="Arial" w:cs="Arial"/>
          <w:i/>
          <w:sz w:val="20"/>
          <w:szCs w:val="20"/>
          <w:lang w:val="en-AU" w:eastAsia="en-AU"/>
        </w:rPr>
        <w:t>Over time Bendigo Health expect to see a marked improvement in student satisfaction with the accommodation and will watch with interest through the BPCLE how this contributes to a broader improvement in overall satisfaction of student clinical placement satisfaction ratings.</w:t>
      </w:r>
    </w:p>
    <w:p w:rsidR="00637D81" w:rsidRPr="00476416" w:rsidRDefault="00637D81" w:rsidP="00637D81">
      <w:pPr>
        <w:rPr>
          <w:rFonts w:ascii="Arial" w:eastAsia="Times New Roman" w:hAnsi="Arial" w:cs="Arial"/>
          <w:i/>
          <w:sz w:val="20"/>
          <w:szCs w:val="20"/>
          <w:lang w:val="en-AU" w:eastAsia="en-AU"/>
        </w:rPr>
      </w:pPr>
    </w:p>
    <w:p w:rsidR="00A8218E" w:rsidRPr="00476416" w:rsidRDefault="00A8218E" w:rsidP="00637D81">
      <w:pPr>
        <w:rPr>
          <w:rFonts w:ascii="Arial" w:eastAsia="Times New Roman" w:hAnsi="Arial" w:cs="Arial"/>
          <w:i/>
          <w:sz w:val="20"/>
          <w:szCs w:val="20"/>
          <w:lang w:val="en-AU" w:eastAsia="en-AU"/>
        </w:rPr>
      </w:pPr>
    </w:p>
    <w:p w:rsidR="00637D81" w:rsidRPr="00B702E1" w:rsidRDefault="00637D81" w:rsidP="001F1B0A">
      <w:pPr>
        <w:numPr>
          <w:ilvl w:val="0"/>
          <w:numId w:val="9"/>
        </w:numPr>
        <w:tabs>
          <w:tab w:val="clear" w:pos="720"/>
        </w:tabs>
        <w:ind w:left="360"/>
        <w:rPr>
          <w:rFonts w:ascii="Arial" w:hAnsi="Arial" w:cs="Arial"/>
          <w:b/>
          <w:u w:val="single"/>
        </w:rPr>
      </w:pPr>
      <w:r w:rsidRPr="00B702E1">
        <w:rPr>
          <w:rFonts w:ascii="Arial" w:hAnsi="Arial" w:cs="Arial"/>
          <w:b/>
          <w:u w:val="single"/>
        </w:rPr>
        <w:t xml:space="preserve">Attachments </w:t>
      </w:r>
    </w:p>
    <w:p w:rsidR="00637D81" w:rsidRDefault="00637D81" w:rsidP="00637D81">
      <w:pPr>
        <w:rPr>
          <w:rFonts w:ascii="Arial" w:hAnsi="Arial" w:cs="Arial"/>
          <w:u w:val="single"/>
        </w:rPr>
      </w:pPr>
    </w:p>
    <w:p w:rsidR="00637D81" w:rsidRDefault="00637D81" w:rsidP="008A051E">
      <w:pPr>
        <w:pStyle w:val="Healthbody"/>
        <w:numPr>
          <w:ilvl w:val="0"/>
          <w:numId w:val="16"/>
        </w:numPr>
        <w:tabs>
          <w:tab w:val="clear" w:pos="720"/>
          <w:tab w:val="num" w:pos="709"/>
          <w:tab w:val="left" w:pos="4536"/>
        </w:tabs>
      </w:pPr>
      <w:r>
        <w:t>Funding Acquittal</w:t>
      </w:r>
      <w:r w:rsidR="003523C8">
        <w:tab/>
      </w:r>
      <w:r w:rsidR="0033421E">
        <w:fldChar w:fldCharType="begin">
          <w:ffData>
            <w:name w:val="Check1"/>
            <w:enabled/>
            <w:calcOnExit w:val="0"/>
            <w:checkBox>
              <w:sizeAuto/>
              <w:default w:val="1"/>
            </w:checkBox>
          </w:ffData>
        </w:fldChar>
      </w:r>
      <w:bookmarkStart w:id="0" w:name="Check1"/>
      <w:r w:rsidR="00476416">
        <w:instrText xml:space="preserve"> FORMCHECKBOX </w:instrText>
      </w:r>
      <w:r w:rsidR="0033421E">
        <w:fldChar w:fldCharType="separate"/>
      </w:r>
      <w:r w:rsidR="0033421E">
        <w:fldChar w:fldCharType="end"/>
      </w:r>
      <w:bookmarkEnd w:id="0"/>
    </w:p>
    <w:p w:rsidR="004D3278" w:rsidRDefault="004D3278" w:rsidP="008A051E">
      <w:pPr>
        <w:pStyle w:val="Healthbody"/>
        <w:numPr>
          <w:ilvl w:val="0"/>
          <w:numId w:val="16"/>
        </w:numPr>
        <w:tabs>
          <w:tab w:val="clear" w:pos="720"/>
          <w:tab w:val="num" w:pos="709"/>
          <w:tab w:val="left" w:pos="4536"/>
        </w:tabs>
      </w:pPr>
      <w:r>
        <w:t>Asset Register</w:t>
      </w:r>
      <w:r>
        <w:tab/>
      </w:r>
      <w:r w:rsidR="0033421E">
        <w:fldChar w:fldCharType="begin">
          <w:ffData>
            <w:name w:val=""/>
            <w:enabled/>
            <w:calcOnExit w:val="0"/>
            <w:checkBox>
              <w:sizeAuto/>
              <w:default w:val="1"/>
            </w:checkBox>
          </w:ffData>
        </w:fldChar>
      </w:r>
      <w:r w:rsidR="00476416">
        <w:instrText xml:space="preserve"> FORMCHECKBOX </w:instrText>
      </w:r>
      <w:r w:rsidR="0033421E">
        <w:fldChar w:fldCharType="separate"/>
      </w:r>
      <w:r w:rsidR="0033421E">
        <w:fldChar w:fldCharType="end"/>
      </w:r>
    </w:p>
    <w:p w:rsidR="00637D81" w:rsidRPr="006F7851" w:rsidRDefault="00637D81" w:rsidP="008A051E">
      <w:pPr>
        <w:pStyle w:val="Healthbody"/>
        <w:numPr>
          <w:ilvl w:val="0"/>
          <w:numId w:val="16"/>
        </w:numPr>
        <w:tabs>
          <w:tab w:val="clear" w:pos="720"/>
          <w:tab w:val="num" w:pos="709"/>
          <w:tab w:val="left" w:pos="4536"/>
        </w:tabs>
      </w:pPr>
      <w:r>
        <w:t xml:space="preserve">Photo’s (optional) </w:t>
      </w:r>
      <w:r w:rsidR="003523C8">
        <w:tab/>
      </w:r>
      <w:r w:rsidR="0033421E">
        <w:fldChar w:fldCharType="begin">
          <w:ffData>
            <w:name w:val=""/>
            <w:enabled/>
            <w:calcOnExit w:val="0"/>
            <w:checkBox>
              <w:sizeAuto/>
              <w:default w:val="1"/>
            </w:checkBox>
          </w:ffData>
        </w:fldChar>
      </w:r>
      <w:r w:rsidR="00476416">
        <w:instrText xml:space="preserve"> FORMCHECKBOX </w:instrText>
      </w:r>
      <w:r w:rsidR="0033421E">
        <w:fldChar w:fldCharType="separate"/>
      </w:r>
      <w:r w:rsidR="0033421E">
        <w:fldChar w:fldCharType="end"/>
      </w:r>
    </w:p>
    <w:p w:rsidR="00383179" w:rsidRPr="006F7851" w:rsidRDefault="006F7851" w:rsidP="008A051E">
      <w:pPr>
        <w:pStyle w:val="Healthbody"/>
        <w:numPr>
          <w:ilvl w:val="0"/>
          <w:numId w:val="16"/>
        </w:numPr>
        <w:tabs>
          <w:tab w:val="clear" w:pos="720"/>
          <w:tab w:val="num" w:pos="709"/>
          <w:tab w:val="left" w:pos="4536"/>
        </w:tabs>
      </w:pPr>
      <w:r w:rsidRPr="006F7851">
        <w:t xml:space="preserve">Other </w:t>
      </w:r>
      <w:r w:rsidR="008A051E">
        <w:tab/>
      </w:r>
      <w:r w:rsidR="0033421E">
        <w:fldChar w:fldCharType="begin">
          <w:ffData>
            <w:name w:val="Check1"/>
            <w:enabled/>
            <w:calcOnExit w:val="0"/>
            <w:checkBox>
              <w:sizeAuto/>
              <w:default w:val="0"/>
            </w:checkBox>
          </w:ffData>
        </w:fldChar>
      </w:r>
      <w:r w:rsidR="00383179">
        <w:instrText xml:space="preserve"> FORMCHECKBOX </w:instrText>
      </w:r>
      <w:r w:rsidR="0033421E">
        <w:fldChar w:fldCharType="separate"/>
      </w:r>
      <w:r w:rsidR="0033421E">
        <w:fldChar w:fldCharType="end"/>
      </w:r>
    </w:p>
    <w:p w:rsidR="006F7851" w:rsidRPr="006F7851" w:rsidRDefault="006F7851" w:rsidP="00383179">
      <w:pPr>
        <w:tabs>
          <w:tab w:val="left" w:pos="7088"/>
        </w:tabs>
        <w:ind w:left="360"/>
        <w:rPr>
          <w:rFonts w:ascii="Arial" w:hAnsi="Arial" w:cs="Arial"/>
        </w:rPr>
      </w:pPr>
    </w:p>
    <w:p w:rsidR="00637D81" w:rsidRPr="00637D81" w:rsidRDefault="00637D81" w:rsidP="00E91436">
      <w:pPr>
        <w:rPr>
          <w:rFonts w:ascii="Arial" w:hAnsi="Arial" w:cs="Arial"/>
        </w:rPr>
      </w:pPr>
    </w:p>
    <w:p w:rsidR="00637D81" w:rsidRPr="001F1B0A" w:rsidRDefault="00637D81" w:rsidP="00637D81">
      <w:pPr>
        <w:rPr>
          <w:rFonts w:ascii="Arial" w:hAnsi="Arial" w:cs="Arial"/>
          <w:u w:val="single"/>
        </w:rPr>
      </w:pPr>
    </w:p>
    <w:sectPr w:rsidR="00637D81" w:rsidRPr="001F1B0A"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63A" w:rsidRDefault="000A363A">
      <w:r>
        <w:separator/>
      </w:r>
    </w:p>
  </w:endnote>
  <w:endnote w:type="continuationSeparator" w:id="0">
    <w:p w:rsidR="000A363A" w:rsidRDefault="000A3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CB" w:rsidRPr="000D3B7B" w:rsidRDefault="00C75093" w:rsidP="00B43637">
    <w:pPr>
      <w:pStyle w:val="Healthfooter"/>
      <w:rPr>
        <w:color w:val="0073CF"/>
        <w:sz w:val="24"/>
      </w:rPr>
    </w:pPr>
    <w:r>
      <w:rPr>
        <w:noProof/>
        <w:sz w:val="24"/>
        <w:szCs w:val="20"/>
        <w:lang w:val="en-US"/>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19050" t="0" r="0" b="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srcRect/>
                  <a:stretch>
                    <a:fillRect/>
                  </a:stretch>
                </pic:blipFill>
                <pic:spPr bwMode="auto">
                  <a:xfrm>
                    <a:off x="0" y="0"/>
                    <a:ext cx="7607300" cy="355600"/>
                  </a:xfrm>
                  <a:prstGeom prst="rect">
                    <a:avLst/>
                  </a:prstGeom>
                  <a:noFill/>
                  <a:ln w="9525">
                    <a:noFill/>
                    <a:miter lim="800000"/>
                    <a:headEnd/>
                    <a:tailEnd/>
                  </a:ln>
                </pic:spPr>
              </pic:pic>
            </a:graphicData>
          </a:graphic>
        </wp:anchor>
      </w:drawing>
    </w:r>
    <w:r w:rsidR="000C7BCB" w:rsidRPr="000D3B7B">
      <w:rPr>
        <w:sz w:val="24"/>
      </w:rPr>
      <w:tab/>
    </w:r>
    <w:r w:rsidR="000C7BCB" w:rsidRPr="000D3B7B">
      <w:rPr>
        <w:color w:val="0073CF"/>
        <w:sz w:val="24"/>
      </w:rPr>
      <w:t>Department of Health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CB" w:rsidRPr="00B43637" w:rsidRDefault="000C7BCB" w:rsidP="00B43637">
    <w:pPr>
      <w:pStyle w:val="Healthfooter"/>
    </w:pPr>
    <w:r w:rsidRPr="00B43637">
      <w:t xml:space="preserve">Page </w:t>
    </w:r>
    <w:r w:rsidR="0033421E" w:rsidRPr="00B43637">
      <w:rPr>
        <w:rStyle w:val="PageNumber"/>
        <w:rFonts w:ascii="Times New Roman" w:hAnsi="Times New Roman"/>
      </w:rPr>
      <w:fldChar w:fldCharType="begin"/>
    </w:r>
    <w:r w:rsidRPr="00B43637">
      <w:rPr>
        <w:rStyle w:val="PageNumber"/>
      </w:rPr>
      <w:instrText xml:space="preserve"> PAGE </w:instrText>
    </w:r>
    <w:r w:rsidR="0033421E" w:rsidRPr="00B43637">
      <w:rPr>
        <w:rStyle w:val="PageNumber"/>
        <w:rFonts w:ascii="Times New Roman" w:hAnsi="Times New Roman"/>
      </w:rPr>
      <w:fldChar w:fldCharType="separate"/>
    </w:r>
    <w:r w:rsidR="00ED77DF">
      <w:rPr>
        <w:rStyle w:val="PageNumber"/>
        <w:noProof/>
      </w:rPr>
      <w:t>3</w:t>
    </w:r>
    <w:r w:rsidR="0033421E" w:rsidRPr="00B43637">
      <w:rPr>
        <w:rStyle w:val="PageNumber"/>
        <w:rFonts w:ascii="Times New Roman" w:hAnsi="Times New Roman"/>
      </w:rPr>
      <w:fldChar w:fldCharType="end"/>
    </w:r>
    <w:r w:rsidRPr="00B43637">
      <w:tab/>
      <w:t>Department of Health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63A" w:rsidRDefault="000A363A">
      <w:r>
        <w:separator/>
      </w:r>
    </w:p>
  </w:footnote>
  <w:footnote w:type="continuationSeparator" w:id="0">
    <w:p w:rsidR="000A363A" w:rsidRDefault="000A3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CB" w:rsidRDefault="000C7B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FB3"/>
    <w:multiLevelType w:val="hybridMultilevel"/>
    <w:tmpl w:val="125803FA"/>
    <w:lvl w:ilvl="0" w:tplc="B41E8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517E3C"/>
    <w:multiLevelType w:val="hybridMultilevel"/>
    <w:tmpl w:val="3446D3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5">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8DB57AB"/>
    <w:multiLevelType w:val="hybridMultilevel"/>
    <w:tmpl w:val="2B804C0E"/>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7"/>
  </w:num>
  <w:num w:numId="5">
    <w:abstractNumId w:val="4"/>
  </w:num>
  <w:num w:numId="6">
    <w:abstractNumId w:val="13"/>
  </w:num>
  <w:num w:numId="7">
    <w:abstractNumId w:val="10"/>
  </w:num>
  <w:num w:numId="8">
    <w:abstractNumId w:val="12"/>
  </w:num>
  <w:num w:numId="9">
    <w:abstractNumId w:val="6"/>
  </w:num>
  <w:num w:numId="10">
    <w:abstractNumId w:val="15"/>
  </w:num>
  <w:num w:numId="11">
    <w:abstractNumId w:val="9"/>
  </w:num>
  <w:num w:numId="12">
    <w:abstractNumId w:val="11"/>
  </w:num>
  <w:num w:numId="13">
    <w:abstractNumId w:val="14"/>
  </w:num>
  <w:num w:numId="14">
    <w:abstractNumId w:val="7"/>
  </w:num>
  <w:num w:numId="15">
    <w:abstractNumId w:val="1"/>
  </w:num>
  <w:num w:numId="16">
    <w:abstractNumId w:val="16"/>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21"/>
  <w:trackRevisions/>
  <w:defaultTabStop w:val="28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6C2F9C"/>
    <w:rsid w:val="00087DD7"/>
    <w:rsid w:val="000A363A"/>
    <w:rsid w:val="000C7BCB"/>
    <w:rsid w:val="000F6E00"/>
    <w:rsid w:val="001319E9"/>
    <w:rsid w:val="00136F8C"/>
    <w:rsid w:val="00152349"/>
    <w:rsid w:val="00174B16"/>
    <w:rsid w:val="0019313E"/>
    <w:rsid w:val="001F1B0A"/>
    <w:rsid w:val="002200FF"/>
    <w:rsid w:val="0031752F"/>
    <w:rsid w:val="0033421E"/>
    <w:rsid w:val="00350B84"/>
    <w:rsid w:val="003523C8"/>
    <w:rsid w:val="00383179"/>
    <w:rsid w:val="003B138F"/>
    <w:rsid w:val="00476416"/>
    <w:rsid w:val="00497314"/>
    <w:rsid w:val="004D3278"/>
    <w:rsid w:val="00506E6D"/>
    <w:rsid w:val="005109BD"/>
    <w:rsid w:val="005139C5"/>
    <w:rsid w:val="005249F8"/>
    <w:rsid w:val="005932E4"/>
    <w:rsid w:val="006331EF"/>
    <w:rsid w:val="00637D81"/>
    <w:rsid w:val="00661D9A"/>
    <w:rsid w:val="006C2F9C"/>
    <w:rsid w:val="006F7851"/>
    <w:rsid w:val="0072470E"/>
    <w:rsid w:val="00726D14"/>
    <w:rsid w:val="00801151"/>
    <w:rsid w:val="00825D5D"/>
    <w:rsid w:val="008473A4"/>
    <w:rsid w:val="008601E2"/>
    <w:rsid w:val="008A051E"/>
    <w:rsid w:val="008C7122"/>
    <w:rsid w:val="009266AB"/>
    <w:rsid w:val="00A8218E"/>
    <w:rsid w:val="00AA033B"/>
    <w:rsid w:val="00B645E9"/>
    <w:rsid w:val="00B702E1"/>
    <w:rsid w:val="00B858C9"/>
    <w:rsid w:val="00BC487A"/>
    <w:rsid w:val="00C106B2"/>
    <w:rsid w:val="00C75093"/>
    <w:rsid w:val="00D66528"/>
    <w:rsid w:val="00D834C3"/>
    <w:rsid w:val="00D906F5"/>
    <w:rsid w:val="00DB0762"/>
    <w:rsid w:val="00DF4556"/>
    <w:rsid w:val="00E03A99"/>
    <w:rsid w:val="00E3025E"/>
    <w:rsid w:val="00E640A0"/>
    <w:rsid w:val="00E76663"/>
    <w:rsid w:val="00E91436"/>
    <w:rsid w:val="00ED77DF"/>
    <w:rsid w:val="00EE38ED"/>
    <w:rsid w:val="00EE5A48"/>
    <w:rsid w:val="00EE75D5"/>
    <w:rsid w:val="00F43429"/>
    <w:rsid w:val="00F5538B"/>
    <w:rsid w:val="00F85AA5"/>
    <w:rsid w:val="00FA76B7"/>
    <w:rsid w:val="00FB74F7"/>
    <w:rsid w:val="00FD4DAB"/>
    <w:rsid w:val="00FF66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val="en-AU"/>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val="en-AU"/>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val="en-AU"/>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val="en-AU"/>
    </w:rPr>
  </w:style>
  <w:style w:type="paragraph" w:customStyle="1" w:styleId="Healthmainsubheading">
    <w:name w:val="Health main subheading"/>
    <w:rsid w:val="0041787B"/>
    <w:rPr>
      <w:rFonts w:ascii="Arial" w:hAnsi="Arial"/>
      <w:color w:val="FFFFFF"/>
      <w:sz w:val="28"/>
      <w:szCs w:val="24"/>
      <w:lang w:val="en-AU"/>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val="en-AU"/>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rsid w:val="00A00DA6"/>
    <w:pPr>
      <w:spacing w:before="240" w:after="80" w:line="240" w:lineRule="atLeast"/>
    </w:pPr>
    <w:rPr>
      <w:rFonts w:ascii="Arial" w:eastAsia="MS Mincho" w:hAnsi="Arial"/>
      <w:b/>
      <w:szCs w:val="24"/>
      <w:lang w:val="en-AU"/>
    </w:rPr>
  </w:style>
  <w:style w:type="paragraph" w:customStyle="1" w:styleId="Healthfigurecaption">
    <w:name w:val="Health figure caption"/>
    <w:rsid w:val="00A00DA6"/>
    <w:pPr>
      <w:spacing w:before="240" w:after="120" w:line="240" w:lineRule="atLeast"/>
    </w:pPr>
    <w:rPr>
      <w:rFonts w:ascii="Arial" w:eastAsia="MS Mincho" w:hAnsi="Arial"/>
      <w:b/>
      <w:szCs w:val="24"/>
      <w:lang w:val="en-AU"/>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val="en-AU"/>
    </w:rPr>
  </w:style>
  <w:style w:type="paragraph" w:customStyle="1" w:styleId="Healthtablebody">
    <w:name w:val="Health table body"/>
    <w:rsid w:val="004A3B5B"/>
    <w:pPr>
      <w:spacing w:after="40" w:line="220" w:lineRule="atLeast"/>
    </w:pPr>
    <w:rPr>
      <w:rFonts w:ascii="Arial" w:eastAsia="MS Mincho" w:hAnsi="Arial"/>
      <w:sz w:val="18"/>
      <w:szCs w:val="24"/>
      <w:lang w:val="en-AU"/>
    </w:rPr>
  </w:style>
  <w:style w:type="character" w:styleId="Hyperlink">
    <w:name w:val="Hyperlink"/>
    <w:basedOn w:val="DefaultParagraphFont"/>
    <w:uiPriority w:val="99"/>
    <w:unhideWhenUsed/>
    <w:rsid w:val="00FD4DAB"/>
    <w:rPr>
      <w:color w:val="0000FF"/>
      <w:u w:val="single"/>
    </w:rPr>
  </w:style>
  <w:style w:type="paragraph" w:styleId="BalloonText">
    <w:name w:val="Balloon Text"/>
    <w:basedOn w:val="Normal"/>
    <w:link w:val="BalloonTextChar"/>
    <w:uiPriority w:val="99"/>
    <w:semiHidden/>
    <w:unhideWhenUsed/>
    <w:rsid w:val="00B645E9"/>
    <w:rPr>
      <w:rFonts w:ascii="Tahoma" w:hAnsi="Tahoma" w:cs="Tahoma"/>
      <w:sz w:val="16"/>
      <w:szCs w:val="16"/>
    </w:rPr>
  </w:style>
  <w:style w:type="character" w:customStyle="1" w:styleId="BalloonTextChar">
    <w:name w:val="Balloon Text Char"/>
    <w:basedOn w:val="DefaultParagraphFont"/>
    <w:link w:val="BalloonText"/>
    <w:uiPriority w:val="99"/>
    <w:semiHidden/>
    <w:rsid w:val="00B645E9"/>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fergus@benidoghealth.org.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1-Projects-Current\Buildings%20Team\12-651%2046%20Lucan%20Street%20Units\Project%20Documentation\Reports\RAI%20Final%20report%2012-6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RAI Final report 12-651</Template>
  <TotalTime>0</TotalTime>
  <Pages>3</Pages>
  <Words>1150</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7819</CharactersWithSpaces>
  <SharedDoc>false</SharedDoc>
  <HLinks>
    <vt:vector size="6" baseType="variant">
      <vt:variant>
        <vt:i4>8257543</vt:i4>
      </vt:variant>
      <vt:variant>
        <vt:i4>0</vt:i4>
      </vt:variant>
      <vt:variant>
        <vt:i4>0</vt:i4>
      </vt:variant>
      <vt:variant>
        <vt:i4>5</vt:i4>
      </vt:variant>
      <vt:variant>
        <vt:lpwstr>mailto:jfergus@benidoghealth.org.au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gwallace</dc:creator>
  <cp:lastModifiedBy>gwallace</cp:lastModifiedBy>
  <cp:revision>2</cp:revision>
  <dcterms:created xsi:type="dcterms:W3CDTF">2014-03-28T06:08:00Z</dcterms:created>
  <dcterms:modified xsi:type="dcterms:W3CDTF">2014-03-28T06:08:00Z</dcterms:modified>
</cp:coreProperties>
</file>