
<file path=[Content_Types].xml><?xml version="1.0" encoding="utf-8"?>
<Types xmlns="http://schemas.openxmlformats.org/package/2006/content-types">
  <Default Extension="jpeg" ContentType="image/jpe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2033"/>
      </w:tblGrid>
      <w:tr w:rsidR="00773290">
        <w:tc>
          <w:tcPr>
            <w:tcW w:w="11910" w:type="dxa"/>
          </w:tcPr>
          <w:p w:rsidR="00773290" w:rsidRPr="00022B1B" w:rsidRDefault="00546349" w:rsidP="000C7BCB">
            <w:pPr>
              <w:pStyle w:val="Bannertablecell"/>
            </w:pPr>
            <w:r>
              <w:rPr>
                <w:noProof/>
                <w:lang w:val="en-US"/>
              </w:rPr>
              <w:pict>
                <v:shapetype id="_x0000_t202" coordsize="21600,21600" o:spt="202" path="m,l,21600r21600,l21600,xe">
                  <v:stroke joinstyle="miter"/>
                  <v:path gradientshapeok="t" o:connecttype="rect"/>
                </v:shapetype>
                <v:shape id="_x0000_s1029" type="#_x0000_t202" style="position:absolute;margin-left:56.7pt;margin-top:141.85pt;width:340.15pt;height:22.7pt;z-index:251656704;mso-position-horizontal-relative:page;mso-position-vertical-relative:page" filled="f" stroked="f">
                  <v:textbox style="mso-next-textbox:#_x0000_s1029" inset="0,0,0,0">
                    <w:txbxContent>
                      <w:p w:rsidR="00773290" w:rsidRPr="0041787B" w:rsidRDefault="00773290" w:rsidP="000C7BCB">
                        <w:pPr>
                          <w:pStyle w:val="Healthmainsubheading"/>
                        </w:pPr>
                        <w:r>
                          <w:t xml:space="preserve">Final report </w:t>
                        </w:r>
                      </w:p>
                    </w:txbxContent>
                  </v:textbox>
                  <w10:wrap anchorx="page" anchory="page"/>
                </v:shape>
              </w:pict>
            </w:r>
            <w:r>
              <w:rPr>
                <w:noProof/>
                <w:lang w:val="en-US"/>
              </w:rPr>
              <w:pict>
                <v:shape id="_x0000_s1027" type="#_x0000_t202" style="position:absolute;margin-left:56.7pt;margin-top:65.2pt;width:340.15pt;height:54pt;z-index:251655680;mso-position-horizontal-relative:page;mso-position-vertical-relative:page" filled="f" stroked="f">
                  <v:textbox style="mso-next-textbox:#_x0000_s1027" inset="0,0,0,0">
                    <w:txbxContent>
                      <w:p w:rsidR="00773290" w:rsidRPr="0041787B" w:rsidRDefault="00773290" w:rsidP="000C7BCB">
                        <w:pPr>
                          <w:pStyle w:val="Healthmainheading"/>
                        </w:pPr>
                        <w:r>
                          <w:t xml:space="preserve">Small Capital and Equipment Program </w:t>
                        </w:r>
                      </w:p>
                    </w:txbxContent>
                  </v:textbox>
                  <w10:wrap anchorx="page" anchory="page"/>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SGV 541 as RGB - 2cm wide at 300dpi" style="position:absolute;margin-left:56.7pt;margin-top:793.8pt;width:57pt;height:33pt;z-index:251657728;visibility:visible;mso-position-horizontal-relative:page;mso-position-vertical-relative:page">
                  <v:imagedata r:id="rId8" o:title=""/>
                  <w10:wrap anchorx="page" anchory="page"/>
                  <w10:anchorlock/>
                </v:shape>
              </w:pict>
            </w:r>
            <w:r>
              <w:rPr>
                <w:noProof/>
                <w:lang w:val="en-US"/>
              </w:rPr>
              <w:pict>
                <v:shape id="Picture 1" o:spid="_x0000_i1025" type="#_x0000_t75" alt="1009016 VCP A4 newsletter portrait_Word setup top" style="width:601.6pt;height:166.95pt;visibility:visible">
                  <v:imagedata r:id="rId9" o:title=""/>
                </v:shape>
              </w:pict>
            </w:r>
          </w:p>
        </w:tc>
      </w:tr>
    </w:tbl>
    <w:p w:rsidR="00773290" w:rsidRDefault="00773290" w:rsidP="000F6E00">
      <w:pPr>
        <w:pStyle w:val="Healthbody"/>
        <w:spacing w:before="120"/>
        <w:sectPr w:rsidR="00773290" w:rsidSect="000C7BCB">
          <w:footerReference w:type="default" r:id="rId10"/>
          <w:type w:val="continuous"/>
          <w:pgSz w:w="11899" w:h="16838"/>
          <w:pgMar w:top="0" w:right="851" w:bottom="2155" w:left="1134" w:header="0" w:footer="567" w:gutter="0"/>
          <w:cols w:space="708"/>
        </w:sectPr>
      </w:pPr>
    </w:p>
    <w:p w:rsidR="00773290" w:rsidRPr="00637D81" w:rsidRDefault="00773290" w:rsidP="00864C99">
      <w:pPr>
        <w:pStyle w:val="Healthheading1"/>
        <w:spacing w:before="600"/>
      </w:pPr>
      <w:r>
        <w:lastRenderedPageBreak/>
        <w:t>Preparing for our future</w:t>
      </w:r>
    </w:p>
    <w:p w:rsidR="00773290" w:rsidRPr="003A7983" w:rsidRDefault="00773290" w:rsidP="00864C99">
      <w:pPr>
        <w:pStyle w:val="Healthheading3"/>
        <w:spacing w:after="600"/>
      </w:pPr>
      <w:r w:rsidRPr="00CE7A7C">
        <w:t xml:space="preserve">Date </w:t>
      </w:r>
      <w:r>
        <w:t>c</w:t>
      </w:r>
      <w:r w:rsidRPr="00CE7A7C">
        <w:t>ompleted:</w:t>
      </w:r>
      <w:r>
        <w:t xml:space="preserve"> 18 March 2013</w:t>
      </w:r>
      <w:r w:rsidRPr="00637D81">
        <w:t xml:space="preserve"> </w:t>
      </w:r>
      <w:bookmarkStart w:id="0" w:name="_GoBack"/>
      <w:bookmarkEnd w:id="0"/>
    </w:p>
    <w:p w:rsidR="00773290" w:rsidRPr="00864C99" w:rsidRDefault="00773290" w:rsidP="00864C99">
      <w:pPr>
        <w:pStyle w:val="Healthheading2"/>
      </w:pPr>
      <w:r>
        <w:t>Background and context</w:t>
      </w:r>
    </w:p>
    <w:p w:rsidR="00773290" w:rsidRPr="003A7983" w:rsidRDefault="00773290" w:rsidP="008967CB">
      <w:pPr>
        <w:pStyle w:val="Healthbody"/>
      </w:pPr>
      <w:r>
        <w:t xml:space="preserve">The primary aim of this project was to upgrade the </w:t>
      </w:r>
      <w:r w:rsidR="000103B2">
        <w:t>i</w:t>
      </w:r>
      <w:r w:rsidR="002F30B4">
        <w:t xml:space="preserve">nformation </w:t>
      </w:r>
      <w:r w:rsidR="000103B2">
        <w:t>t</w:t>
      </w:r>
      <w:r w:rsidR="002F30B4">
        <w:t>echnology (</w:t>
      </w:r>
      <w:r>
        <w:t>IT</w:t>
      </w:r>
      <w:r w:rsidR="002F30B4">
        <w:t>)</w:t>
      </w:r>
      <w:r>
        <w:t xml:space="preserve"> infrastructure for students undertaking their placements with Gatew</w:t>
      </w:r>
      <w:r w:rsidR="000103B2">
        <w:t>ay Community Health (GCH) and</w:t>
      </w:r>
      <w:r>
        <w:t xml:space="preserve"> Ovens and King Community Health (OKCH). Upgrading the infrastructure will not only</w:t>
      </w:r>
      <w:r w:rsidRPr="006E2F6A">
        <w:t xml:space="preserve"> </w:t>
      </w:r>
      <w:r>
        <w:t>enable both organisations to work more collaboratively to increase the number of student placements provided, but significantly increase the types of placements by the provision</w:t>
      </w:r>
      <w:r w:rsidR="000F5B3F">
        <w:t xml:space="preserve"> of multidisciplinary and cross-</w:t>
      </w:r>
      <w:r>
        <w:t xml:space="preserve">location and overall quality of all student placements within the region. </w:t>
      </w:r>
    </w:p>
    <w:p w:rsidR="00773290" w:rsidRPr="00B702E1" w:rsidRDefault="00773290" w:rsidP="003A7983">
      <w:pPr>
        <w:pStyle w:val="Healthheading2"/>
        <w:rPr>
          <w:sz w:val="22"/>
          <w:szCs w:val="22"/>
        </w:rPr>
      </w:pPr>
      <w:r w:rsidRPr="00B702E1">
        <w:t xml:space="preserve">Project </w:t>
      </w:r>
      <w:r>
        <w:t>o</w:t>
      </w:r>
      <w:r w:rsidRPr="00B702E1">
        <w:t xml:space="preserve">bjectives and </w:t>
      </w:r>
      <w:r>
        <w:t>e</w:t>
      </w:r>
      <w:r w:rsidRPr="00B702E1">
        <w:t xml:space="preserve">xpected </w:t>
      </w:r>
      <w:r>
        <w:t>i</w:t>
      </w:r>
      <w:r w:rsidRPr="00B702E1">
        <w:t xml:space="preserve">mpacts </w:t>
      </w:r>
    </w:p>
    <w:p w:rsidR="00773290" w:rsidRPr="00D010C4" w:rsidRDefault="00773290" w:rsidP="003A7983">
      <w:pPr>
        <w:pStyle w:val="Healthbullet1"/>
      </w:pPr>
      <w:r w:rsidRPr="00D010C4">
        <w:t xml:space="preserve">Upgrade IT infrastructure for students undertaking clinical placements with GCH </w:t>
      </w:r>
      <w:r>
        <w:t>and</w:t>
      </w:r>
      <w:r w:rsidRPr="00D010C4">
        <w:t xml:space="preserve"> OKCH.</w:t>
      </w:r>
    </w:p>
    <w:p w:rsidR="00773290" w:rsidRPr="003A7983" w:rsidRDefault="00773290" w:rsidP="004D5764">
      <w:pPr>
        <w:pStyle w:val="Healthbullet1lastline"/>
      </w:pPr>
      <w:r w:rsidRPr="00D010C4">
        <w:t>Enable both organi</w:t>
      </w:r>
      <w:r>
        <w:t>s</w:t>
      </w:r>
      <w:r w:rsidRPr="00D010C4">
        <w:t>ations to work together to increase the number of students</w:t>
      </w:r>
      <w:r>
        <w:t>,</w:t>
      </w:r>
      <w:r w:rsidRPr="00D010C4">
        <w:t xml:space="preserve"> types of placements </w:t>
      </w:r>
      <w:r>
        <w:t>and</w:t>
      </w:r>
      <w:r w:rsidRPr="00D010C4">
        <w:t xml:space="preserve"> quality of placements prov</w:t>
      </w:r>
      <w:r>
        <w:t>ided.</w:t>
      </w:r>
    </w:p>
    <w:p w:rsidR="00773290" w:rsidRPr="00E61A6D" w:rsidRDefault="00773290" w:rsidP="003A7983">
      <w:pPr>
        <w:pStyle w:val="Healthbody"/>
      </w:pPr>
      <w:r>
        <w:t>Expected impact of this initiative is that the GCH and OKCH strategic alliance will now be in a stronger position to provide quality well</w:t>
      </w:r>
      <w:r w:rsidR="000103B2">
        <w:t>-</w:t>
      </w:r>
      <w:r>
        <w:t>resourced multidisciplinary placements across the region.</w:t>
      </w:r>
    </w:p>
    <w:p w:rsidR="00773290" w:rsidRPr="00B702E1" w:rsidRDefault="00773290" w:rsidP="003A7983">
      <w:pPr>
        <w:pStyle w:val="Healthheading2"/>
      </w:pPr>
      <w:r>
        <w:t>Project</w:t>
      </w:r>
      <w:r w:rsidRPr="00B702E1">
        <w:t xml:space="preserve"> </w:t>
      </w:r>
      <w:r>
        <w:t>a</w:t>
      </w:r>
      <w:r w:rsidRPr="00B702E1">
        <w:t>ctivities</w:t>
      </w:r>
    </w:p>
    <w:p w:rsidR="00773290" w:rsidRDefault="00773290" w:rsidP="003A7983">
      <w:pPr>
        <w:pStyle w:val="Healthbullet1"/>
      </w:pPr>
      <w:r w:rsidRPr="00D010C4">
        <w:t>OKCH</w:t>
      </w:r>
      <w:r>
        <w:t xml:space="preserve"> and GCH to share placement data for 2012 and identify similarities and opportunities for cross</w:t>
      </w:r>
      <w:r w:rsidR="000103B2">
        <w:t>-</w:t>
      </w:r>
      <w:r>
        <w:t>discipline/location placements.</w:t>
      </w:r>
    </w:p>
    <w:p w:rsidR="00773290" w:rsidRDefault="00773290" w:rsidP="003A7983">
      <w:pPr>
        <w:pStyle w:val="Healthbullet1"/>
      </w:pPr>
      <w:r>
        <w:t>Purchase and install IT equipment.</w:t>
      </w:r>
    </w:p>
    <w:p w:rsidR="00773290" w:rsidRDefault="00773290" w:rsidP="003A7983">
      <w:pPr>
        <w:pStyle w:val="Healthbullet1"/>
      </w:pPr>
      <w:r>
        <w:t>Adjust current evaluation mechanisms regarding clinical placements. Include section related to the new resources and facilities specific to students against the Best Practice Clinical Learning Environment internal monitoring indicators (BPCLE).</w:t>
      </w:r>
    </w:p>
    <w:p w:rsidR="00773290" w:rsidRDefault="00773290" w:rsidP="003A7983">
      <w:pPr>
        <w:pStyle w:val="Healthbullet1"/>
      </w:pPr>
      <w:r>
        <w:t>Undertake an end of project review using results from BPCLE internal monitoring indicators to determine learner satisfaction.</w:t>
      </w:r>
    </w:p>
    <w:p w:rsidR="00773290" w:rsidRPr="003A7983" w:rsidRDefault="00773290" w:rsidP="003A7983">
      <w:pPr>
        <w:pStyle w:val="Healthbullet1lastline"/>
      </w:pPr>
      <w:r>
        <w:t>Implement a combined GCH and OKCH clinical p</w:t>
      </w:r>
      <w:r w:rsidR="000103B2">
        <w:t>lacement work plan for 2013–</w:t>
      </w:r>
      <w:r>
        <w:t>14</w:t>
      </w:r>
    </w:p>
    <w:p w:rsidR="00773290" w:rsidRPr="00723FAB" w:rsidRDefault="000103B2" w:rsidP="003A7983">
      <w:pPr>
        <w:pStyle w:val="Healthheading2"/>
      </w:pPr>
      <w:r>
        <w:br w:type="page"/>
      </w:r>
      <w:r w:rsidR="00773290" w:rsidRPr="00723FAB">
        <w:t xml:space="preserve">Project </w:t>
      </w:r>
      <w:r w:rsidR="00773290">
        <w:t>m</w:t>
      </w:r>
      <w:r w:rsidR="00773290" w:rsidRPr="00723FAB">
        <w:t xml:space="preserve">anagement </w:t>
      </w:r>
    </w:p>
    <w:p w:rsidR="00773290" w:rsidRPr="003A7983" w:rsidRDefault="00773290" w:rsidP="003A7983">
      <w:pPr>
        <w:pStyle w:val="Healthbullet1"/>
      </w:pPr>
      <w:r w:rsidRPr="003A7983">
        <w:t>The Clinical Manager at GCH and the Operations Man</w:t>
      </w:r>
      <w:r w:rsidR="002F30B4">
        <w:t>a</w:t>
      </w:r>
      <w:r w:rsidRPr="003A7983">
        <w:t xml:space="preserve">ger at OKCH along with both site IT coordinators and a representative from HRHA met as an initial steering group to determine the identified needs and proposed process for implementing this initiative. Over a </w:t>
      </w:r>
      <w:r>
        <w:t>three</w:t>
      </w:r>
      <w:r w:rsidR="000103B2">
        <w:t>-</w:t>
      </w:r>
      <w:r w:rsidRPr="003A7983">
        <w:t xml:space="preserve">month period students at GCH were also consulted on their experiences and how and what could have improved this experience. </w:t>
      </w:r>
    </w:p>
    <w:p w:rsidR="00773290" w:rsidRPr="003A7983" w:rsidRDefault="00773290" w:rsidP="003A7983">
      <w:pPr>
        <w:pStyle w:val="Healthbullet1lastline"/>
      </w:pPr>
      <w:r w:rsidRPr="003A7983">
        <w:lastRenderedPageBreak/>
        <w:t>Timelines were delayed due to a s</w:t>
      </w:r>
      <w:r w:rsidR="002F30B4">
        <w:t>eries of unavoidable staff turn</w:t>
      </w:r>
      <w:r w:rsidRPr="003A7983">
        <w:t>over and delays in the both the delivery of equipment and installation due to capital works occurring at 155 High St</w:t>
      </w:r>
      <w:r>
        <w:t>reet</w:t>
      </w:r>
      <w:r w:rsidRPr="003A7983">
        <w:t xml:space="preserve"> Wodonga. The project was back on track by the end of November and development of a</w:t>
      </w:r>
      <w:r>
        <w:t>n</w:t>
      </w:r>
      <w:r w:rsidRPr="003A7983">
        <w:t xml:space="preserve"> OKCH </w:t>
      </w:r>
      <w:r>
        <w:t>and</w:t>
      </w:r>
      <w:r w:rsidRPr="003A7983">
        <w:t xml:space="preserve"> GCH collaborative student placement program for 2013 is evolving.</w:t>
      </w:r>
    </w:p>
    <w:p w:rsidR="00773290" w:rsidRPr="00B702E1" w:rsidRDefault="00773290" w:rsidP="003A7983">
      <w:pPr>
        <w:pStyle w:val="Healthheading2"/>
      </w:pPr>
      <w:r w:rsidRPr="00B702E1">
        <w:t xml:space="preserve">Project performance against stated </w:t>
      </w:r>
      <w:r>
        <w:t>deliverables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589"/>
        <w:gridCol w:w="3590"/>
        <w:gridCol w:w="1701"/>
        <w:gridCol w:w="1043"/>
      </w:tblGrid>
      <w:tr w:rsidR="00773290" w:rsidRPr="003A7983" w:rsidTr="000103B2">
        <w:tc>
          <w:tcPr>
            <w:tcW w:w="3589" w:type="dxa"/>
            <w:shd w:val="clear" w:color="auto" w:fill="0073CF"/>
          </w:tcPr>
          <w:p w:rsidR="00773290" w:rsidRPr="003A7983" w:rsidRDefault="00773290" w:rsidP="003A7983">
            <w:pPr>
              <w:pStyle w:val="Healthtablecolumnhead"/>
            </w:pPr>
            <w:r w:rsidRPr="003A7983">
              <w:t xml:space="preserve">Project </w:t>
            </w:r>
            <w:r>
              <w:t>a</w:t>
            </w:r>
            <w:r w:rsidRPr="003A7983">
              <w:t>ctivity</w:t>
            </w:r>
          </w:p>
        </w:tc>
        <w:tc>
          <w:tcPr>
            <w:tcW w:w="3590" w:type="dxa"/>
            <w:shd w:val="clear" w:color="auto" w:fill="0073CF"/>
          </w:tcPr>
          <w:p w:rsidR="00773290" w:rsidRPr="003A7983" w:rsidRDefault="00773290" w:rsidP="003A7983">
            <w:pPr>
              <w:pStyle w:val="Healthtablecolumnhead"/>
            </w:pPr>
            <w:r>
              <w:t>Project deliverable/t</w:t>
            </w:r>
            <w:r w:rsidRPr="003A7983">
              <w:t>arget</w:t>
            </w:r>
          </w:p>
        </w:tc>
        <w:tc>
          <w:tcPr>
            <w:tcW w:w="1701" w:type="dxa"/>
            <w:shd w:val="clear" w:color="auto" w:fill="0073CF"/>
          </w:tcPr>
          <w:p w:rsidR="00773290" w:rsidRPr="003A7983" w:rsidRDefault="00773290" w:rsidP="003A7983">
            <w:pPr>
              <w:pStyle w:val="Healthtablecolumnhead"/>
            </w:pPr>
            <w:r w:rsidRPr="003A7983">
              <w:t xml:space="preserve">Due </w:t>
            </w:r>
            <w:r>
              <w:t>d</w:t>
            </w:r>
            <w:r w:rsidRPr="003A7983">
              <w:t>ate</w:t>
            </w:r>
          </w:p>
        </w:tc>
        <w:tc>
          <w:tcPr>
            <w:tcW w:w="1043" w:type="dxa"/>
            <w:shd w:val="clear" w:color="auto" w:fill="0073CF"/>
          </w:tcPr>
          <w:p w:rsidR="00773290" w:rsidRPr="003A7983" w:rsidDel="00B34E1C" w:rsidRDefault="000103B2" w:rsidP="000103B2">
            <w:pPr>
              <w:pStyle w:val="Healthtablecolumnhead"/>
            </w:pPr>
            <w:r>
              <w:t>Status</w:t>
            </w:r>
          </w:p>
        </w:tc>
      </w:tr>
      <w:tr w:rsidR="00773290" w:rsidRPr="003C04A5" w:rsidTr="000103B2">
        <w:tc>
          <w:tcPr>
            <w:tcW w:w="3589" w:type="dxa"/>
          </w:tcPr>
          <w:p w:rsidR="00773290" w:rsidRPr="004C21C5" w:rsidRDefault="00773290" w:rsidP="000103B2">
            <w:pPr>
              <w:pStyle w:val="Healthtablebody"/>
            </w:pPr>
            <w:r w:rsidRPr="004C21C5">
              <w:t>OKCH and GCH to share placement data for 2012 and identify placements that can be offered as cross</w:t>
            </w:r>
            <w:r w:rsidR="000103B2">
              <w:t>-</w:t>
            </w:r>
            <w:r w:rsidRPr="004C21C5">
              <w:t>discipline and/or cross</w:t>
            </w:r>
            <w:r w:rsidR="000103B2">
              <w:t>-</w:t>
            </w:r>
            <w:r w:rsidRPr="004C21C5">
              <w:t>location</w:t>
            </w:r>
            <w:r>
              <w:t>.</w:t>
            </w:r>
          </w:p>
        </w:tc>
        <w:tc>
          <w:tcPr>
            <w:tcW w:w="3590" w:type="dxa"/>
          </w:tcPr>
          <w:p w:rsidR="00773290" w:rsidRPr="004C21C5" w:rsidRDefault="00773290" w:rsidP="002F30B4">
            <w:pPr>
              <w:pStyle w:val="Healthtablebody"/>
            </w:pPr>
            <w:r w:rsidRPr="004C21C5">
              <w:t xml:space="preserve">Clinical placement plan for placements occurring between June 2012 </w:t>
            </w:r>
            <w:r>
              <w:t>and</w:t>
            </w:r>
            <w:r w:rsidRPr="004C21C5">
              <w:t xml:space="preserve"> March 2013</w:t>
            </w:r>
            <w:r>
              <w:t>.</w:t>
            </w:r>
          </w:p>
        </w:tc>
        <w:tc>
          <w:tcPr>
            <w:tcW w:w="1701" w:type="dxa"/>
          </w:tcPr>
          <w:p w:rsidR="00773290" w:rsidRPr="003A7983" w:rsidRDefault="00773290" w:rsidP="003A7983">
            <w:pPr>
              <w:pStyle w:val="Healthtablebody"/>
            </w:pPr>
            <w:r w:rsidRPr="003A7983">
              <w:t xml:space="preserve">November 2012 </w:t>
            </w:r>
          </w:p>
        </w:tc>
        <w:tc>
          <w:tcPr>
            <w:tcW w:w="1043" w:type="dxa"/>
          </w:tcPr>
          <w:p w:rsidR="00773290" w:rsidRPr="003A7983" w:rsidRDefault="00773290" w:rsidP="003A7983">
            <w:pPr>
              <w:pStyle w:val="Healthtablebody"/>
            </w:pPr>
            <w:r w:rsidRPr="003A7983">
              <w:t>Complete</w:t>
            </w:r>
          </w:p>
        </w:tc>
      </w:tr>
      <w:tr w:rsidR="00773290" w:rsidRPr="003C04A5" w:rsidTr="000103B2">
        <w:tc>
          <w:tcPr>
            <w:tcW w:w="3589" w:type="dxa"/>
          </w:tcPr>
          <w:p w:rsidR="00773290" w:rsidRPr="004C21C5" w:rsidRDefault="00773290" w:rsidP="002F30B4">
            <w:pPr>
              <w:pStyle w:val="Healthtablebody"/>
            </w:pPr>
            <w:r w:rsidRPr="004C21C5">
              <w:t>Equipment purchase and installed</w:t>
            </w:r>
            <w:r w:rsidR="002F30B4">
              <w:t>.</w:t>
            </w:r>
          </w:p>
        </w:tc>
        <w:tc>
          <w:tcPr>
            <w:tcW w:w="3590" w:type="dxa"/>
          </w:tcPr>
          <w:p w:rsidR="00773290" w:rsidRPr="004C21C5" w:rsidRDefault="00773290" w:rsidP="003A7983">
            <w:pPr>
              <w:pStyle w:val="Healthtablebullet"/>
            </w:pPr>
            <w:r w:rsidRPr="004C21C5">
              <w:t xml:space="preserve">Equipment purchased </w:t>
            </w:r>
            <w:r>
              <w:t>and</w:t>
            </w:r>
            <w:r w:rsidRPr="004C21C5">
              <w:t xml:space="preserve"> installed between July </w:t>
            </w:r>
            <w:r w:rsidR="002F30B4">
              <w:t>and</w:t>
            </w:r>
            <w:r w:rsidRPr="004C21C5">
              <w:t xml:space="preserve"> Nov</w:t>
            </w:r>
            <w:r>
              <w:t>ember</w:t>
            </w:r>
            <w:r w:rsidRPr="004C21C5">
              <w:t xml:space="preserve"> 2012</w:t>
            </w:r>
          </w:p>
          <w:p w:rsidR="00773290" w:rsidRDefault="00773290" w:rsidP="003A7983">
            <w:pPr>
              <w:pStyle w:val="Healthtablebullet"/>
            </w:pPr>
            <w:r w:rsidRPr="004C21C5">
              <w:t>Workstations set up and accessible to students</w:t>
            </w:r>
          </w:p>
          <w:p w:rsidR="00773290" w:rsidRDefault="00773290" w:rsidP="003A7983">
            <w:pPr>
              <w:pStyle w:val="Healthtablebullet"/>
            </w:pPr>
            <w:r>
              <w:t>A medical student consultation room is now available wit</w:t>
            </w:r>
            <w:r w:rsidR="002F30B4">
              <w:t>h new and appropriate equipment</w:t>
            </w:r>
          </w:p>
          <w:p w:rsidR="00773290" w:rsidRDefault="00773290" w:rsidP="003A7983">
            <w:pPr>
              <w:pStyle w:val="Healthtablebullet"/>
            </w:pPr>
            <w:r>
              <w:t>Supervision room for meeting with tertiary representatives, placement supervisors peer</w:t>
            </w:r>
            <w:r w:rsidR="002F30B4">
              <w:t>s etc. is available for students</w:t>
            </w:r>
          </w:p>
          <w:p w:rsidR="00773290" w:rsidRPr="004C21C5" w:rsidRDefault="000F5B3F" w:rsidP="003A7983">
            <w:pPr>
              <w:pStyle w:val="Healthtablebullet"/>
            </w:pPr>
            <w:r>
              <w:t>A student training and chill-</w:t>
            </w:r>
            <w:r w:rsidR="00773290">
              <w:t>out room is available for peer work a</w:t>
            </w:r>
            <w:r w:rsidR="000103B2">
              <w:t>nd chill-</w:t>
            </w:r>
            <w:r w:rsidR="002F30B4">
              <w:t>out space for students</w:t>
            </w:r>
          </w:p>
        </w:tc>
        <w:tc>
          <w:tcPr>
            <w:tcW w:w="1701" w:type="dxa"/>
          </w:tcPr>
          <w:p w:rsidR="00773290" w:rsidRPr="003A7983" w:rsidRDefault="00773290" w:rsidP="003A7983">
            <w:pPr>
              <w:pStyle w:val="Healthtablebody"/>
              <w:rPr>
                <w:highlight w:val="yellow"/>
              </w:rPr>
            </w:pPr>
            <w:r>
              <w:t>30 November</w:t>
            </w:r>
            <w:r w:rsidRPr="003A7983">
              <w:t xml:space="preserve"> 2012</w:t>
            </w:r>
          </w:p>
        </w:tc>
        <w:tc>
          <w:tcPr>
            <w:tcW w:w="1043" w:type="dxa"/>
          </w:tcPr>
          <w:p w:rsidR="00773290" w:rsidRPr="003A7983" w:rsidRDefault="00773290" w:rsidP="003A7983">
            <w:pPr>
              <w:pStyle w:val="Healthtablebody"/>
            </w:pPr>
            <w:r w:rsidRPr="003A7983">
              <w:t>Complete</w:t>
            </w:r>
          </w:p>
        </w:tc>
      </w:tr>
      <w:tr w:rsidR="00773290" w:rsidRPr="003C04A5" w:rsidTr="000103B2">
        <w:tc>
          <w:tcPr>
            <w:tcW w:w="3589" w:type="dxa"/>
          </w:tcPr>
          <w:p w:rsidR="00773290" w:rsidRPr="004C21C5" w:rsidRDefault="00773290" w:rsidP="002F30B4">
            <w:pPr>
              <w:pStyle w:val="Healthtablebody"/>
            </w:pPr>
            <w:r w:rsidRPr="004C21C5">
              <w:t xml:space="preserve">Current evaluation mechanisms regarding clinical placements at OKCH and GCH have sections added to them, in order to measure the addition of appropriate resources and facilities against BPCLE internal monitoring indicator: Learner satisfaction with respect to access to IT and internet within the health service. </w:t>
            </w:r>
          </w:p>
        </w:tc>
        <w:tc>
          <w:tcPr>
            <w:tcW w:w="3590" w:type="dxa"/>
          </w:tcPr>
          <w:p w:rsidR="00773290" w:rsidRDefault="00773290" w:rsidP="003A7983">
            <w:pPr>
              <w:pStyle w:val="Healthtablebullet"/>
            </w:pPr>
            <w:r w:rsidRPr="004C21C5">
              <w:t>Clinical placement evaluation mechanisms modified</w:t>
            </w:r>
            <w:r>
              <w:t>. Survey monkey adjusted and admini</w:t>
            </w:r>
            <w:r w:rsidR="002F30B4">
              <w:t>ster in final week of placement</w:t>
            </w:r>
          </w:p>
          <w:p w:rsidR="00773290" w:rsidRPr="004C21C5" w:rsidRDefault="00773290" w:rsidP="003A7983">
            <w:pPr>
              <w:pStyle w:val="Healthtablebullet"/>
            </w:pPr>
            <w:r>
              <w:t>Data collated and reported back to the board q</w:t>
            </w:r>
            <w:r w:rsidR="002F30B4">
              <w:t>uarterly on balanced score card</w:t>
            </w:r>
          </w:p>
        </w:tc>
        <w:tc>
          <w:tcPr>
            <w:tcW w:w="1701" w:type="dxa"/>
          </w:tcPr>
          <w:p w:rsidR="00773290" w:rsidRPr="003A7983" w:rsidRDefault="00773290" w:rsidP="003A7983">
            <w:pPr>
              <w:pStyle w:val="Healthtablebody"/>
            </w:pPr>
            <w:r w:rsidRPr="003A7983">
              <w:t>January 2013</w:t>
            </w:r>
          </w:p>
        </w:tc>
        <w:tc>
          <w:tcPr>
            <w:tcW w:w="1043" w:type="dxa"/>
          </w:tcPr>
          <w:p w:rsidR="00773290" w:rsidRPr="003A7983" w:rsidRDefault="00773290" w:rsidP="003A7983">
            <w:pPr>
              <w:pStyle w:val="Healthtablebody"/>
            </w:pPr>
            <w:r w:rsidRPr="003A7983">
              <w:t>Complete</w:t>
            </w:r>
          </w:p>
        </w:tc>
      </w:tr>
      <w:tr w:rsidR="00773290" w:rsidRPr="003C04A5" w:rsidTr="000103B2">
        <w:trPr>
          <w:trHeight w:val="3818"/>
        </w:trPr>
        <w:tc>
          <w:tcPr>
            <w:tcW w:w="3589" w:type="dxa"/>
          </w:tcPr>
          <w:p w:rsidR="00773290" w:rsidRPr="004C21C5" w:rsidRDefault="00773290" w:rsidP="002F30B4">
            <w:pPr>
              <w:pStyle w:val="Healthtablebody"/>
            </w:pPr>
            <w:r w:rsidRPr="004C21C5">
              <w:t xml:space="preserve">End project period review undertaken using results from BPCLE internal monitoring indicator </w:t>
            </w:r>
            <w:r>
              <w:t>l</w:t>
            </w:r>
            <w:r w:rsidRPr="004C21C5">
              <w:t>earner satisfaction with respect to access to IT and internet within the health service regularly assessed and any resulting action need to be undertaken is completed (e.g.</w:t>
            </w:r>
            <w:r w:rsidR="002F30B4">
              <w:t>,</w:t>
            </w:r>
            <w:r w:rsidRPr="004C21C5">
              <w:t xml:space="preserve"> workstations need adjustment, any IT issues rectified). The report to provide feedback from students about the infrastructure facilities and feedback from staff about improvements to the quality of clinical placements in terms of providing IT and other infrastructure for clinical placements.</w:t>
            </w:r>
          </w:p>
        </w:tc>
        <w:tc>
          <w:tcPr>
            <w:tcW w:w="3590" w:type="dxa"/>
          </w:tcPr>
          <w:p w:rsidR="00773290" w:rsidRDefault="00773290" w:rsidP="003A7983">
            <w:pPr>
              <w:pStyle w:val="Healthtablebullet"/>
            </w:pPr>
            <w:r>
              <w:t>Collate student feedback regarding placement location; faciliti</w:t>
            </w:r>
            <w:r w:rsidR="002F30B4">
              <w:t>es and multidisciplinary nature</w:t>
            </w:r>
          </w:p>
          <w:p w:rsidR="00773290" w:rsidRPr="004C21C5" w:rsidRDefault="002F30B4" w:rsidP="003A7983">
            <w:pPr>
              <w:pStyle w:val="Healthtablebullet"/>
            </w:pPr>
            <w:r>
              <w:t>End of project report finalised</w:t>
            </w:r>
          </w:p>
        </w:tc>
        <w:tc>
          <w:tcPr>
            <w:tcW w:w="1701" w:type="dxa"/>
          </w:tcPr>
          <w:p w:rsidR="00773290" w:rsidRPr="003A7983" w:rsidRDefault="00773290" w:rsidP="003A7983">
            <w:pPr>
              <w:pStyle w:val="Healthtablebody"/>
            </w:pPr>
            <w:r w:rsidRPr="003A7983">
              <w:t>March 2013</w:t>
            </w:r>
          </w:p>
        </w:tc>
        <w:tc>
          <w:tcPr>
            <w:tcW w:w="1043" w:type="dxa"/>
          </w:tcPr>
          <w:p w:rsidR="00773290" w:rsidRPr="003A7983" w:rsidRDefault="00773290" w:rsidP="003A7983">
            <w:pPr>
              <w:pStyle w:val="Healthtablebody"/>
            </w:pPr>
            <w:r w:rsidRPr="003A7983">
              <w:t>Complete</w:t>
            </w:r>
          </w:p>
        </w:tc>
      </w:tr>
    </w:tbl>
    <w:p w:rsidR="00773290" w:rsidRPr="002B419B" w:rsidRDefault="00773290" w:rsidP="003A7983">
      <w:pPr>
        <w:pStyle w:val="Healthbody"/>
        <w:rPr>
          <w:b/>
          <w:highlight w:val="yellow"/>
        </w:rPr>
      </w:pPr>
    </w:p>
    <w:p w:rsidR="00773290" w:rsidRDefault="00773290" w:rsidP="003A7983">
      <w:pPr>
        <w:pStyle w:val="Healthheading2"/>
      </w:pPr>
      <w:r w:rsidRPr="002C5CED">
        <w:lastRenderedPageBreak/>
        <w:t xml:space="preserve">Project </w:t>
      </w:r>
      <w:r>
        <w:t>o</w:t>
      </w:r>
      <w:r w:rsidRPr="002C5CED">
        <w:t xml:space="preserve">utcomes </w:t>
      </w:r>
    </w:p>
    <w:p w:rsidR="00773290" w:rsidRPr="003A7983" w:rsidRDefault="00773290" w:rsidP="003A7983">
      <w:pPr>
        <w:pStyle w:val="Healthbody"/>
      </w:pPr>
      <w:r>
        <w:t>The tangible outcomes of this project have included:</w:t>
      </w:r>
    </w:p>
    <w:p w:rsidR="00773290" w:rsidRPr="004C21C5" w:rsidRDefault="00773290" w:rsidP="003A7983">
      <w:pPr>
        <w:pStyle w:val="Healthbullet1"/>
      </w:pPr>
      <w:r w:rsidRPr="004C21C5">
        <w:t xml:space="preserve">Equipment purchased </w:t>
      </w:r>
      <w:r w:rsidR="002F30B4">
        <w:t>and installed</w:t>
      </w:r>
    </w:p>
    <w:p w:rsidR="00773290" w:rsidRPr="0041785A" w:rsidRDefault="00773290" w:rsidP="003A7983">
      <w:pPr>
        <w:pStyle w:val="Healthbullet1"/>
      </w:pPr>
      <w:r w:rsidRPr="0041785A">
        <w:t>Workstations set up and accessible to students</w:t>
      </w:r>
    </w:p>
    <w:p w:rsidR="00773290" w:rsidRPr="0041785A" w:rsidRDefault="00773290" w:rsidP="003A7983">
      <w:pPr>
        <w:pStyle w:val="Healthbullet1"/>
      </w:pPr>
      <w:r w:rsidRPr="0041785A">
        <w:t>A medical student consultation room is now available wit</w:t>
      </w:r>
      <w:r w:rsidR="002F30B4">
        <w:t>h new and appropriate equipment</w:t>
      </w:r>
    </w:p>
    <w:p w:rsidR="00773290" w:rsidRPr="0041785A" w:rsidRDefault="00773290" w:rsidP="003A7983">
      <w:pPr>
        <w:pStyle w:val="Healthbullet1"/>
      </w:pPr>
      <w:r w:rsidRPr="0041785A">
        <w:t>Supervision room for meeting with tertiary representatives, placement supervisors peers etc</w:t>
      </w:r>
      <w:r>
        <w:t>.</w:t>
      </w:r>
      <w:r w:rsidR="002F30B4">
        <w:t xml:space="preserve"> is available for students</w:t>
      </w:r>
    </w:p>
    <w:p w:rsidR="00773290" w:rsidRPr="003A7983" w:rsidRDefault="00773290" w:rsidP="003A7983">
      <w:pPr>
        <w:pStyle w:val="Healthbullet1lastline"/>
        <w:rPr>
          <w:b/>
        </w:rPr>
      </w:pPr>
      <w:r w:rsidRPr="0041785A">
        <w:t>A student training and chill</w:t>
      </w:r>
      <w:r w:rsidR="000103B2">
        <w:t>-</w:t>
      </w:r>
      <w:r w:rsidRPr="0041785A">
        <w:t xml:space="preserve">out room is available for peer work </w:t>
      </w:r>
      <w:r>
        <w:t>and</w:t>
      </w:r>
      <w:r w:rsidR="002F30B4">
        <w:t xml:space="preserve"> chill</w:t>
      </w:r>
      <w:r w:rsidR="000103B2">
        <w:t>-</w:t>
      </w:r>
      <w:r w:rsidR="002F30B4">
        <w:t>out space for students</w:t>
      </w:r>
    </w:p>
    <w:p w:rsidR="00773290" w:rsidRPr="003A7983" w:rsidRDefault="00773290" w:rsidP="003A7983">
      <w:pPr>
        <w:pStyle w:val="Healthbody"/>
      </w:pPr>
      <w:r>
        <w:t>Upgrading the OKCH</w:t>
      </w:r>
      <w:r w:rsidRPr="003A7983">
        <w:t xml:space="preserve"> and GCH student infrastructure through the </w:t>
      </w:r>
      <w:r>
        <w:t>r</w:t>
      </w:r>
      <w:r w:rsidRPr="003A7983">
        <w:t xml:space="preserve">ural Small Capital </w:t>
      </w:r>
      <w:r>
        <w:t>and</w:t>
      </w:r>
      <w:r w:rsidRPr="003A7983">
        <w:t xml:space="preserve"> Equipment Program has enabled a stronger alliance and collaboration </w:t>
      </w:r>
      <w:r w:rsidR="002F30B4">
        <w:t xml:space="preserve">in student placement procedures, policies, </w:t>
      </w:r>
      <w:r w:rsidRPr="003A7983">
        <w:t>capacity and hence an obvious increase in available opportunities.</w:t>
      </w:r>
      <w:r>
        <w:t xml:space="preserve"> </w:t>
      </w:r>
      <w:r w:rsidRPr="003A7983">
        <w:t xml:space="preserve">In the last </w:t>
      </w:r>
      <w:r w:rsidR="002F30B4">
        <w:t>six</w:t>
      </w:r>
      <w:r w:rsidRPr="003A7983">
        <w:t xml:space="preserve"> months we have had a significant increase in the types of placements by the provision of multidisciplinary and cross</w:t>
      </w:r>
      <w:r w:rsidR="000F5B3F">
        <w:t>-</w:t>
      </w:r>
      <w:r w:rsidRPr="003A7983">
        <w:t xml:space="preserve">location and overall quality of all student placements within the region. </w:t>
      </w:r>
      <w:r>
        <w:t>Figure</w:t>
      </w:r>
      <w:r w:rsidRPr="003A7983">
        <w:t xml:space="preserve">s 1 </w:t>
      </w:r>
      <w:r>
        <w:t>and</w:t>
      </w:r>
      <w:r w:rsidRPr="003A7983">
        <w:t xml:space="preserve"> 2 </w:t>
      </w:r>
      <w:proofErr w:type="gramStart"/>
      <w:r w:rsidRPr="003A7983">
        <w:t>show</w:t>
      </w:r>
      <w:proofErr w:type="gramEnd"/>
      <w:r w:rsidRPr="003A7983">
        <w:t xml:space="preserve"> the discipline specific placements across both sites, the increase in some specific placement types and the overlap between organisations in specific disciplines.</w:t>
      </w:r>
    </w:p>
    <w:p w:rsidR="00773290" w:rsidRPr="00B702E1" w:rsidRDefault="00546349" w:rsidP="003A7983">
      <w:pPr>
        <w:pStyle w:val="Healthbody"/>
      </w:pPr>
      <w:r>
        <w:rPr>
          <w:noProof/>
          <w:lang w:val="en-US"/>
        </w:rPr>
        <w:pict>
          <v:shape id="_x0000_s1030" type="#_x0000_t75" style="position:absolute;margin-left:-1.65pt;margin-top:73.5pt;width:453pt;height:235.5pt;z-index:251658752;mso-wrap-distance-right:28.35pt">
            <v:imagedata r:id="rId11" o:title=""/>
            <o:lock v:ext="edit" aspectratio="f"/>
            <w10:wrap type="square"/>
          </v:shape>
          <o:OLEObject Type="Embed" ProgID="Excel.Sheet.8" ShapeID="_x0000_s1030" DrawAspect="Content" ObjectID="_1474193230" r:id="rId12">
            <o:FieldCodes>\s</o:FieldCodes>
          </o:OLEObject>
        </w:pict>
      </w:r>
      <w:r w:rsidR="00773290" w:rsidRPr="005E0AE5">
        <w:t xml:space="preserve">The official opening of the new student facilities will be linked in with the official opening of the </w:t>
      </w:r>
      <w:r w:rsidR="00773290">
        <w:t>GCH</w:t>
      </w:r>
      <w:r w:rsidR="00773290" w:rsidRPr="003A7983">
        <w:t xml:space="preserve"> Super </w:t>
      </w:r>
      <w:r w:rsidR="00773290">
        <w:t>C</w:t>
      </w:r>
      <w:r w:rsidR="00773290" w:rsidRPr="003A7983">
        <w:t xml:space="preserve">linic. </w:t>
      </w:r>
      <w:r w:rsidR="00773290" w:rsidRPr="005E0AE5">
        <w:t>It is anticipated that the launch w</w:t>
      </w:r>
      <w:r w:rsidR="00773290">
        <w:t>ill involve the Health Minister,</w:t>
      </w:r>
      <w:r w:rsidR="00773290" w:rsidRPr="005E0AE5">
        <w:t xml:space="preserve"> other department bodies</w:t>
      </w:r>
      <w:r w:rsidR="00773290">
        <w:t>,</w:t>
      </w:r>
      <w:r w:rsidR="00773290" w:rsidRPr="005E0AE5">
        <w:t xml:space="preserve"> tertiary institutions</w:t>
      </w:r>
      <w:r w:rsidR="00773290">
        <w:t>,</w:t>
      </w:r>
      <w:r w:rsidR="00773290" w:rsidRPr="005E0AE5">
        <w:t xml:space="preserve"> local NGO’s</w:t>
      </w:r>
      <w:r w:rsidR="00773290">
        <w:t>,</w:t>
      </w:r>
      <w:r w:rsidR="00773290" w:rsidRPr="005E0AE5">
        <w:t xml:space="preserve"> the media</w:t>
      </w:r>
      <w:r w:rsidR="00773290">
        <w:t xml:space="preserve"> and the community</w:t>
      </w:r>
      <w:r w:rsidR="00773290" w:rsidRPr="005E0AE5">
        <w:t xml:space="preserve"> and </w:t>
      </w:r>
      <w:r w:rsidR="00773290">
        <w:t>therefore, a great opportunity to actively promote our new facilities and improved capacity to f</w:t>
      </w:r>
      <w:r w:rsidR="00773290" w:rsidRPr="003A7983">
        <w:t xml:space="preserve">acilitate student placements. </w:t>
      </w:r>
      <w:r w:rsidR="00773290">
        <w:t xml:space="preserve">A tentative date on 29 April has been set but is subject to availability </w:t>
      </w:r>
      <w:r w:rsidR="00773290" w:rsidRPr="005E0AE5">
        <w:t>of</w:t>
      </w:r>
      <w:r w:rsidR="00773290">
        <w:t xml:space="preserve"> some of the guests. </w:t>
      </w:r>
    </w:p>
    <w:p w:rsidR="00773290" w:rsidRDefault="00773290" w:rsidP="00240B69">
      <w:pPr>
        <w:pStyle w:val="Healthfootnote"/>
      </w:pPr>
      <w:r>
        <w:t xml:space="preserve">Figure </w:t>
      </w:r>
      <w:r w:rsidR="002F30B4">
        <w:fldChar w:fldCharType="begin"/>
      </w:r>
      <w:r w:rsidR="002F30B4">
        <w:instrText xml:space="preserve"> SEQ Figure \* ARABIC </w:instrText>
      </w:r>
      <w:r w:rsidR="002F30B4">
        <w:fldChar w:fldCharType="separate"/>
      </w:r>
      <w:r w:rsidR="00546349">
        <w:rPr>
          <w:noProof/>
        </w:rPr>
        <w:t>1</w:t>
      </w:r>
      <w:r w:rsidR="002F30B4">
        <w:rPr>
          <w:noProof/>
        </w:rPr>
        <w:fldChar w:fldCharType="end"/>
      </w:r>
      <w:r>
        <w:t>: Studen</w:t>
      </w:r>
      <w:r w:rsidR="000103B2">
        <w:t>t rates per discipline 2011–</w:t>
      </w:r>
      <w:r>
        <w:t>12</w:t>
      </w:r>
    </w:p>
    <w:p w:rsidR="00773290" w:rsidRDefault="00546349" w:rsidP="00240B69">
      <w:pPr>
        <w:pStyle w:val="Caption"/>
      </w:pPr>
      <w:r>
        <w:rPr>
          <w:noProof/>
        </w:rPr>
        <w:pict>
          <v:shape id="_x0000_s1031" type="#_x0000_t75" style="position:absolute;margin-left:0;margin-top:11.6pt;width:452.05pt;height:256.05pt;z-index:251659776;mso-wrap-distance-right:28.35pt;mso-position-horizontal:left" wrapcoords="108 321 108 21214 21421 21214 21421 321 108 321">
            <v:imagedata r:id="rId13" o:title=""/>
            <o:lock v:ext="edit" aspectratio="f"/>
            <w10:wrap type="tight"/>
          </v:shape>
          <o:OLEObject Type="Embed" ProgID="Excel.Sheet.8" ShapeID="_x0000_s1031" DrawAspect="Content" ObjectID="_1474193231" r:id="rId14">
            <o:FieldCodes>\s</o:FieldCodes>
          </o:OLEObject>
        </w:pict>
      </w:r>
    </w:p>
    <w:p w:rsidR="00773290" w:rsidRDefault="00773290" w:rsidP="00240B69">
      <w:pPr>
        <w:pStyle w:val="Healthbody"/>
      </w:pPr>
    </w:p>
    <w:p w:rsidR="00773290" w:rsidRDefault="00773290" w:rsidP="00240B69">
      <w:pPr>
        <w:pStyle w:val="Healthbody"/>
      </w:pPr>
    </w:p>
    <w:p w:rsidR="00773290" w:rsidRDefault="00773290" w:rsidP="00240B69">
      <w:pPr>
        <w:pStyle w:val="Healthbody"/>
      </w:pPr>
    </w:p>
    <w:p w:rsidR="00773290" w:rsidRDefault="00773290" w:rsidP="00240B69">
      <w:pPr>
        <w:pStyle w:val="Healthbody"/>
      </w:pPr>
    </w:p>
    <w:p w:rsidR="00773290" w:rsidRDefault="00773290" w:rsidP="00240B69">
      <w:pPr>
        <w:pStyle w:val="Healthbody"/>
      </w:pPr>
    </w:p>
    <w:p w:rsidR="00773290" w:rsidRDefault="00773290" w:rsidP="00240B69">
      <w:pPr>
        <w:pStyle w:val="Healthbody"/>
      </w:pPr>
    </w:p>
    <w:p w:rsidR="00773290" w:rsidRDefault="00773290" w:rsidP="00240B69">
      <w:pPr>
        <w:pStyle w:val="Healthbody"/>
      </w:pPr>
    </w:p>
    <w:p w:rsidR="00773290" w:rsidRDefault="00773290" w:rsidP="00240B69">
      <w:pPr>
        <w:pStyle w:val="Healthbody"/>
      </w:pPr>
    </w:p>
    <w:p w:rsidR="00773290" w:rsidRDefault="00773290" w:rsidP="00240B69">
      <w:pPr>
        <w:pStyle w:val="Healthfootnote"/>
      </w:pPr>
      <w:r>
        <w:t xml:space="preserve">Figure </w:t>
      </w:r>
      <w:r w:rsidR="002F30B4">
        <w:fldChar w:fldCharType="begin"/>
      </w:r>
      <w:r w:rsidR="002F30B4">
        <w:instrText xml:space="preserve"> SEQ Figure \* ARABIC </w:instrText>
      </w:r>
      <w:r w:rsidR="002F30B4">
        <w:fldChar w:fldCharType="separate"/>
      </w:r>
      <w:r w:rsidR="00546349">
        <w:rPr>
          <w:noProof/>
        </w:rPr>
        <w:t>2</w:t>
      </w:r>
      <w:r w:rsidR="002F30B4">
        <w:rPr>
          <w:noProof/>
        </w:rPr>
        <w:fldChar w:fldCharType="end"/>
      </w:r>
      <w:r>
        <w:t>: Studen</w:t>
      </w:r>
      <w:r w:rsidR="000103B2">
        <w:t>t rates per discipline July</w:t>
      </w:r>
      <w:r>
        <w:t xml:space="preserve"> – December 2012</w:t>
      </w:r>
    </w:p>
    <w:p w:rsidR="00773290" w:rsidRPr="003A7983" w:rsidRDefault="00773290" w:rsidP="00240B69">
      <w:pPr>
        <w:pStyle w:val="Healthheading2"/>
        <w:rPr>
          <w:rFonts w:cs="Arial"/>
          <w:u w:val="single"/>
        </w:rPr>
      </w:pPr>
      <w:r w:rsidRPr="00B51C35">
        <w:t>Evaluation</w:t>
      </w:r>
    </w:p>
    <w:p w:rsidR="00773290" w:rsidRPr="000C73B7" w:rsidRDefault="00773290" w:rsidP="000C73B7">
      <w:pPr>
        <w:pStyle w:val="Healthbody"/>
      </w:pPr>
      <w:r w:rsidRPr="000C73B7">
        <w:t>At the commencement of 2013 the student evaluation survey was reviewed and updated to ensure both organisations were measuring and monitoring the whole of the student placement experience. To assist us to actually evaluate the students’ experiences, we used Survey Monkey as the medium to ask questions around the following topics: agency and role orientation</w:t>
      </w:r>
      <w:r>
        <w:t>,</w:t>
      </w:r>
      <w:r w:rsidRPr="000C73B7">
        <w:t xml:space="preserve"> the role of the clinical educator</w:t>
      </w:r>
      <w:r>
        <w:t>,</w:t>
      </w:r>
      <w:r w:rsidRPr="000C73B7">
        <w:t xml:space="preserve"> support and engagement </w:t>
      </w:r>
      <w:r>
        <w:t>with other staff, placement/</w:t>
      </w:r>
      <w:r w:rsidRPr="000C73B7">
        <w:t>clinical challenges</w:t>
      </w:r>
      <w:r>
        <w:t>,</w:t>
      </w:r>
      <w:r w:rsidRPr="000C73B7">
        <w:t xml:space="preserve"> learning opportunities</w:t>
      </w:r>
      <w:r>
        <w:t xml:space="preserve">, </w:t>
      </w:r>
      <w:r w:rsidRPr="000C73B7">
        <w:t>skills acquired</w:t>
      </w:r>
      <w:r>
        <w:t>,</w:t>
      </w:r>
      <w:r w:rsidRPr="000C73B7">
        <w:t xml:space="preserve"> learning environment and facilities</w:t>
      </w:r>
      <w:r>
        <w:t>,</w:t>
      </w:r>
      <w:r w:rsidRPr="000C73B7">
        <w:t xml:space="preserve"> etc.</w:t>
      </w:r>
    </w:p>
    <w:p w:rsidR="00773290" w:rsidRPr="00C350B3" w:rsidRDefault="00773290" w:rsidP="00C350B3">
      <w:pPr>
        <w:pStyle w:val="Healthbody"/>
      </w:pPr>
      <w:r w:rsidRPr="000C73B7">
        <w:t xml:space="preserve">With the purchasing and implementation of student training </w:t>
      </w:r>
      <w:r w:rsidR="000F5B3F">
        <w:t>and chill-</w:t>
      </w:r>
      <w:r w:rsidRPr="000C73B7">
        <w:t xml:space="preserve">out room; a specifically designated student supervision room and the medical student consultation room, both </w:t>
      </w:r>
      <w:r>
        <w:t>OKCH</w:t>
      </w:r>
      <w:r w:rsidRPr="000C73B7">
        <w:t xml:space="preserve"> and </w:t>
      </w:r>
      <w:r>
        <w:t>GCH</w:t>
      </w:r>
      <w:r w:rsidRPr="000C73B7">
        <w:t xml:space="preserve"> are now in a stronger position to increase their ability to take on more students as evidenced by table below.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261"/>
        <w:gridCol w:w="3331"/>
        <w:gridCol w:w="3331"/>
      </w:tblGrid>
      <w:tr w:rsidR="00773290" w:rsidTr="00C350B3">
        <w:tc>
          <w:tcPr>
            <w:tcW w:w="3261" w:type="dxa"/>
            <w:shd w:val="clear" w:color="auto" w:fill="0073CF"/>
          </w:tcPr>
          <w:p w:rsidR="00773290" w:rsidRPr="002A3F87" w:rsidRDefault="00773290" w:rsidP="00C350B3">
            <w:pPr>
              <w:pStyle w:val="Healthtablecolumnhead"/>
              <w:rPr>
                <w:noProof/>
              </w:rPr>
            </w:pPr>
          </w:p>
        </w:tc>
        <w:tc>
          <w:tcPr>
            <w:tcW w:w="3331" w:type="dxa"/>
            <w:shd w:val="clear" w:color="auto" w:fill="0073CF"/>
          </w:tcPr>
          <w:p w:rsidR="00773290" w:rsidRPr="002A3F87" w:rsidRDefault="00773290" w:rsidP="00C350B3">
            <w:pPr>
              <w:pStyle w:val="Healthtablecolumnhead"/>
              <w:rPr>
                <w:noProof/>
              </w:rPr>
            </w:pPr>
            <w:r>
              <w:rPr>
                <w:noProof/>
              </w:rPr>
              <w:t>OKCH</w:t>
            </w:r>
          </w:p>
        </w:tc>
        <w:tc>
          <w:tcPr>
            <w:tcW w:w="3331" w:type="dxa"/>
            <w:shd w:val="clear" w:color="auto" w:fill="0073CF"/>
          </w:tcPr>
          <w:p w:rsidR="00773290" w:rsidRPr="002A3F87" w:rsidRDefault="00773290" w:rsidP="00C350B3">
            <w:pPr>
              <w:pStyle w:val="Healthtablecolumnhead"/>
              <w:rPr>
                <w:noProof/>
              </w:rPr>
            </w:pPr>
            <w:r>
              <w:rPr>
                <w:noProof/>
              </w:rPr>
              <w:t>GCH</w:t>
            </w:r>
          </w:p>
        </w:tc>
      </w:tr>
      <w:tr w:rsidR="00773290" w:rsidTr="00C350B3">
        <w:tc>
          <w:tcPr>
            <w:tcW w:w="3261" w:type="dxa"/>
          </w:tcPr>
          <w:p w:rsidR="00773290" w:rsidRPr="002A3F87" w:rsidRDefault="00773290" w:rsidP="00C350B3">
            <w:pPr>
              <w:pStyle w:val="Healthtablebody"/>
              <w:rPr>
                <w:noProof/>
              </w:rPr>
            </w:pPr>
            <w:r w:rsidRPr="002A3F87">
              <w:rPr>
                <w:noProof/>
              </w:rPr>
              <w:t>July 2011 – June 2012</w:t>
            </w:r>
          </w:p>
        </w:tc>
        <w:tc>
          <w:tcPr>
            <w:tcW w:w="3331" w:type="dxa"/>
          </w:tcPr>
          <w:p w:rsidR="00773290" w:rsidRPr="002A3F87" w:rsidRDefault="00773290" w:rsidP="00C350B3">
            <w:pPr>
              <w:pStyle w:val="Healthtablebody"/>
              <w:rPr>
                <w:noProof/>
              </w:rPr>
            </w:pPr>
            <w:r w:rsidRPr="002A3F87">
              <w:rPr>
                <w:noProof/>
              </w:rPr>
              <w:t>295.5 days</w:t>
            </w:r>
          </w:p>
        </w:tc>
        <w:tc>
          <w:tcPr>
            <w:tcW w:w="3331" w:type="dxa"/>
          </w:tcPr>
          <w:p w:rsidR="00773290" w:rsidRPr="002A3F87" w:rsidRDefault="00773290" w:rsidP="00C350B3">
            <w:pPr>
              <w:pStyle w:val="Healthtablebody"/>
              <w:rPr>
                <w:noProof/>
              </w:rPr>
            </w:pPr>
            <w:r w:rsidRPr="002A3F87">
              <w:rPr>
                <w:noProof/>
              </w:rPr>
              <w:t>707 days</w:t>
            </w:r>
          </w:p>
        </w:tc>
      </w:tr>
      <w:tr w:rsidR="00773290" w:rsidTr="00C350B3">
        <w:tc>
          <w:tcPr>
            <w:tcW w:w="3261" w:type="dxa"/>
          </w:tcPr>
          <w:p w:rsidR="00773290" w:rsidRPr="002A3F87" w:rsidRDefault="00773290" w:rsidP="00C350B3">
            <w:pPr>
              <w:pStyle w:val="Healthtablebody"/>
              <w:rPr>
                <w:noProof/>
              </w:rPr>
            </w:pPr>
            <w:r w:rsidRPr="002A3F87">
              <w:rPr>
                <w:noProof/>
              </w:rPr>
              <w:t>Average number of students per day</w:t>
            </w:r>
          </w:p>
        </w:tc>
        <w:tc>
          <w:tcPr>
            <w:tcW w:w="3331" w:type="dxa"/>
          </w:tcPr>
          <w:p w:rsidR="00773290" w:rsidRPr="002A3F87" w:rsidRDefault="00773290" w:rsidP="00C350B3">
            <w:pPr>
              <w:pStyle w:val="Healthtablebody"/>
              <w:rPr>
                <w:noProof/>
              </w:rPr>
            </w:pPr>
            <w:r>
              <w:rPr>
                <w:noProof/>
              </w:rPr>
              <w:t>295.5/</w:t>
            </w:r>
            <w:r w:rsidRPr="002A3F87">
              <w:rPr>
                <w:noProof/>
              </w:rPr>
              <w:t>365</w:t>
            </w:r>
          </w:p>
          <w:p w:rsidR="00773290" w:rsidRPr="002A3F87" w:rsidRDefault="00773290" w:rsidP="00C350B3">
            <w:pPr>
              <w:pStyle w:val="Healthtablebody"/>
              <w:rPr>
                <w:noProof/>
              </w:rPr>
            </w:pPr>
            <w:r>
              <w:rPr>
                <w:noProof/>
              </w:rPr>
              <w:t>= 0.81 students/</w:t>
            </w:r>
            <w:r w:rsidRPr="002A3F87">
              <w:rPr>
                <w:noProof/>
              </w:rPr>
              <w:t>per day</w:t>
            </w:r>
          </w:p>
        </w:tc>
        <w:tc>
          <w:tcPr>
            <w:tcW w:w="3331" w:type="dxa"/>
          </w:tcPr>
          <w:p w:rsidR="00773290" w:rsidRPr="002A3F87" w:rsidRDefault="00773290" w:rsidP="00C350B3">
            <w:pPr>
              <w:pStyle w:val="Healthtablebody"/>
              <w:rPr>
                <w:noProof/>
              </w:rPr>
            </w:pPr>
            <w:r>
              <w:rPr>
                <w:noProof/>
              </w:rPr>
              <w:t>707/</w:t>
            </w:r>
            <w:r w:rsidRPr="002A3F87">
              <w:rPr>
                <w:noProof/>
              </w:rPr>
              <w:t>365</w:t>
            </w:r>
          </w:p>
          <w:p w:rsidR="00773290" w:rsidRPr="002A3F87" w:rsidRDefault="00773290" w:rsidP="00C350B3">
            <w:pPr>
              <w:pStyle w:val="Healthtablebody"/>
              <w:rPr>
                <w:noProof/>
              </w:rPr>
            </w:pPr>
            <w:r>
              <w:rPr>
                <w:noProof/>
              </w:rPr>
              <w:t>= 1.9 students/</w:t>
            </w:r>
            <w:r w:rsidRPr="002A3F87">
              <w:rPr>
                <w:noProof/>
              </w:rPr>
              <w:t>day</w:t>
            </w:r>
          </w:p>
        </w:tc>
      </w:tr>
      <w:tr w:rsidR="00773290" w:rsidTr="00C350B3">
        <w:trPr>
          <w:trHeight w:val="435"/>
        </w:trPr>
        <w:tc>
          <w:tcPr>
            <w:tcW w:w="3261" w:type="dxa"/>
          </w:tcPr>
          <w:p w:rsidR="00773290" w:rsidRPr="002A3F87" w:rsidRDefault="000744B3" w:rsidP="00C350B3">
            <w:pPr>
              <w:pStyle w:val="Healthtablebody"/>
              <w:rPr>
                <w:noProof/>
              </w:rPr>
            </w:pPr>
            <w:r>
              <w:rPr>
                <w:noProof/>
              </w:rPr>
              <w:t>July</w:t>
            </w:r>
            <w:r w:rsidR="00773290" w:rsidRPr="002A3F87">
              <w:rPr>
                <w:noProof/>
              </w:rPr>
              <w:t xml:space="preserve"> – Dec</w:t>
            </w:r>
            <w:r w:rsidR="00773290">
              <w:rPr>
                <w:noProof/>
              </w:rPr>
              <w:t>ember</w:t>
            </w:r>
            <w:r w:rsidR="00773290" w:rsidRPr="002A3F87">
              <w:rPr>
                <w:noProof/>
              </w:rPr>
              <w:t xml:space="preserve"> 2012</w:t>
            </w:r>
          </w:p>
        </w:tc>
        <w:tc>
          <w:tcPr>
            <w:tcW w:w="3331" w:type="dxa"/>
          </w:tcPr>
          <w:p w:rsidR="00773290" w:rsidRPr="002A3F87" w:rsidRDefault="00773290" w:rsidP="00C350B3">
            <w:pPr>
              <w:pStyle w:val="Healthtablebody"/>
              <w:rPr>
                <w:noProof/>
              </w:rPr>
            </w:pPr>
            <w:r w:rsidRPr="002A3F87">
              <w:rPr>
                <w:noProof/>
              </w:rPr>
              <w:t>265 days</w:t>
            </w:r>
          </w:p>
        </w:tc>
        <w:tc>
          <w:tcPr>
            <w:tcW w:w="3331" w:type="dxa"/>
          </w:tcPr>
          <w:p w:rsidR="00773290" w:rsidRPr="002A3F87" w:rsidRDefault="00773290" w:rsidP="00C350B3">
            <w:pPr>
              <w:pStyle w:val="Healthtablebody"/>
              <w:rPr>
                <w:noProof/>
              </w:rPr>
            </w:pPr>
            <w:r w:rsidRPr="002A3F87">
              <w:rPr>
                <w:noProof/>
              </w:rPr>
              <w:t>576 days</w:t>
            </w:r>
          </w:p>
        </w:tc>
      </w:tr>
      <w:tr w:rsidR="00773290" w:rsidTr="00C350B3">
        <w:trPr>
          <w:trHeight w:val="735"/>
        </w:trPr>
        <w:tc>
          <w:tcPr>
            <w:tcW w:w="3261" w:type="dxa"/>
          </w:tcPr>
          <w:p w:rsidR="00773290" w:rsidRPr="002A3F87" w:rsidRDefault="00773290" w:rsidP="00C350B3">
            <w:pPr>
              <w:pStyle w:val="Healthtablebody"/>
              <w:rPr>
                <w:noProof/>
              </w:rPr>
            </w:pPr>
            <w:r w:rsidRPr="002A3F87">
              <w:rPr>
                <w:noProof/>
              </w:rPr>
              <w:t>Average number of students per day</w:t>
            </w:r>
          </w:p>
        </w:tc>
        <w:tc>
          <w:tcPr>
            <w:tcW w:w="3331" w:type="dxa"/>
          </w:tcPr>
          <w:p w:rsidR="00773290" w:rsidRPr="002A3F87" w:rsidRDefault="00773290" w:rsidP="00C350B3">
            <w:pPr>
              <w:pStyle w:val="Healthtablebody"/>
              <w:rPr>
                <w:noProof/>
              </w:rPr>
            </w:pPr>
            <w:r>
              <w:rPr>
                <w:noProof/>
              </w:rPr>
              <w:t>265/</w:t>
            </w:r>
            <w:r w:rsidRPr="002A3F87">
              <w:rPr>
                <w:noProof/>
              </w:rPr>
              <w:t>183 (</w:t>
            </w:r>
            <w:r>
              <w:rPr>
                <w:noProof/>
              </w:rPr>
              <w:t>six</w:t>
            </w:r>
            <w:r w:rsidRPr="002A3F87">
              <w:rPr>
                <w:noProof/>
              </w:rPr>
              <w:t xml:space="preserve"> months)</w:t>
            </w:r>
          </w:p>
          <w:p w:rsidR="00773290" w:rsidRPr="002A3F87" w:rsidRDefault="00773290" w:rsidP="00C350B3">
            <w:pPr>
              <w:pStyle w:val="Healthtablebody"/>
              <w:rPr>
                <w:noProof/>
              </w:rPr>
            </w:pPr>
            <w:r>
              <w:rPr>
                <w:noProof/>
              </w:rPr>
              <w:t>= 1.44 students/</w:t>
            </w:r>
            <w:r w:rsidRPr="002A3F87">
              <w:rPr>
                <w:noProof/>
              </w:rPr>
              <w:t>day</w:t>
            </w:r>
          </w:p>
        </w:tc>
        <w:tc>
          <w:tcPr>
            <w:tcW w:w="3331" w:type="dxa"/>
          </w:tcPr>
          <w:p w:rsidR="00773290" w:rsidRPr="002A3F87" w:rsidRDefault="00773290" w:rsidP="00C350B3">
            <w:pPr>
              <w:pStyle w:val="Healthtablebody"/>
              <w:rPr>
                <w:noProof/>
              </w:rPr>
            </w:pPr>
            <w:r w:rsidRPr="002A3F87">
              <w:rPr>
                <w:noProof/>
              </w:rPr>
              <w:t>576 days</w:t>
            </w:r>
          </w:p>
          <w:p w:rsidR="00773290" w:rsidRPr="002A3F87" w:rsidRDefault="00773290" w:rsidP="00C350B3">
            <w:pPr>
              <w:pStyle w:val="Healthtablebody"/>
              <w:rPr>
                <w:noProof/>
              </w:rPr>
            </w:pPr>
            <w:r>
              <w:rPr>
                <w:noProof/>
              </w:rPr>
              <w:t>576/</w:t>
            </w:r>
            <w:r w:rsidRPr="002A3F87">
              <w:rPr>
                <w:noProof/>
              </w:rPr>
              <w:t>183 (</w:t>
            </w:r>
            <w:r>
              <w:rPr>
                <w:noProof/>
              </w:rPr>
              <w:t>six</w:t>
            </w:r>
            <w:r w:rsidRPr="002A3F87">
              <w:rPr>
                <w:noProof/>
              </w:rPr>
              <w:t xml:space="preserve"> months)</w:t>
            </w:r>
          </w:p>
          <w:p w:rsidR="00773290" w:rsidRPr="002A3F87" w:rsidRDefault="00773290" w:rsidP="00C350B3">
            <w:pPr>
              <w:pStyle w:val="Healthtablebody"/>
              <w:rPr>
                <w:noProof/>
              </w:rPr>
            </w:pPr>
            <w:r>
              <w:rPr>
                <w:noProof/>
              </w:rPr>
              <w:t>= 3.14 students</w:t>
            </w:r>
            <w:r w:rsidRPr="002A3F87">
              <w:rPr>
                <w:noProof/>
              </w:rPr>
              <w:t>/day</w:t>
            </w:r>
          </w:p>
        </w:tc>
      </w:tr>
    </w:tbl>
    <w:p w:rsidR="00773290" w:rsidRPr="003A7983" w:rsidRDefault="00773290" w:rsidP="002F30B4">
      <w:pPr>
        <w:pStyle w:val="Healthfootnote"/>
        <w:rPr>
          <w:noProof/>
        </w:rPr>
      </w:pPr>
      <w:r>
        <w:rPr>
          <w:noProof/>
        </w:rPr>
        <w:t>Table compares the average number of</w:t>
      </w:r>
      <w:r w:rsidR="000103B2">
        <w:rPr>
          <w:noProof/>
        </w:rPr>
        <w:t xml:space="preserve"> students on placement over a twelve-month period (2011–</w:t>
      </w:r>
      <w:r>
        <w:rPr>
          <w:noProof/>
        </w:rPr>
        <w:t xml:space="preserve">12) with the past six months to observe an increase in placements </w:t>
      </w:r>
      <w:r w:rsidRPr="002F30B4">
        <w:t>offered</w:t>
      </w:r>
      <w:r>
        <w:rPr>
          <w:noProof/>
        </w:rPr>
        <w:t>.</w:t>
      </w:r>
    </w:p>
    <w:p w:rsidR="00773290" w:rsidRPr="003A7983" w:rsidRDefault="00773290" w:rsidP="00C350B3">
      <w:pPr>
        <w:pStyle w:val="Healthbody"/>
        <w:rPr>
          <w:rFonts w:cs="Arial"/>
          <w:szCs w:val="20"/>
        </w:rPr>
      </w:pPr>
      <w:r w:rsidRPr="00B51C35">
        <w:t xml:space="preserve">The updated survey was only revised in January this year and to date we have only one student who has completed their placement and hence the evaluation process. </w:t>
      </w:r>
      <w:r>
        <w:t>Data will continue to be collected/collated and processes will be adapted and changed as feedback is received.</w:t>
      </w:r>
    </w:p>
    <w:p w:rsidR="00773290" w:rsidRPr="003A7983" w:rsidRDefault="002F30B4" w:rsidP="003A7983">
      <w:pPr>
        <w:pStyle w:val="Healthheading2"/>
      </w:pPr>
      <w:r>
        <w:br w:type="page"/>
      </w:r>
      <w:r w:rsidR="00773290" w:rsidRPr="00D11455">
        <w:t>Conclusion</w:t>
      </w:r>
    </w:p>
    <w:p w:rsidR="00773290" w:rsidRPr="00B51C35" w:rsidRDefault="00773290" w:rsidP="003A7983">
      <w:pPr>
        <w:pStyle w:val="Healthbody"/>
      </w:pPr>
      <w:r w:rsidRPr="00B51C35">
        <w:t>Placements offer students a unique opportunity to apply their classroom learning in real life situations under the supervision of qualified and experienced staff.</w:t>
      </w:r>
    </w:p>
    <w:p w:rsidR="00773290" w:rsidRPr="00C350B3" w:rsidRDefault="00773290" w:rsidP="00C350B3">
      <w:pPr>
        <w:pStyle w:val="Healthbody"/>
        <w:rPr>
          <w:rFonts w:cs="Arial"/>
        </w:rPr>
      </w:pPr>
      <w:r w:rsidRPr="00B51C35">
        <w:t>Undertaking placement</w:t>
      </w:r>
      <w:r>
        <w:t>s</w:t>
      </w:r>
      <w:r w:rsidRPr="00B51C35">
        <w:t xml:space="preserve"> </w:t>
      </w:r>
      <w:r>
        <w:t xml:space="preserve">within GCH and OKCH </w:t>
      </w:r>
      <w:r w:rsidRPr="00B51C35">
        <w:t>allow</w:t>
      </w:r>
      <w:r>
        <w:t>s students</w:t>
      </w:r>
      <w:r w:rsidRPr="00B51C35">
        <w:t xml:space="preserve"> to develop an understanding of the work we do, as well as the roles </w:t>
      </w:r>
      <w:r>
        <w:t>they</w:t>
      </w:r>
      <w:r w:rsidRPr="00B51C35">
        <w:t xml:space="preserve"> may be most interested</w:t>
      </w:r>
      <w:r>
        <w:t xml:space="preserve"> in pursuing in the future. Historically with limited number of resources and supports within our community health organisations, students have ‘had to’ be squeezed in as required. Now with </w:t>
      </w:r>
      <w:r w:rsidRPr="00290B8C">
        <w:t xml:space="preserve">specifically tailored spaces and facilities </w:t>
      </w:r>
      <w:r>
        <w:t xml:space="preserve">students </w:t>
      </w:r>
      <w:r w:rsidRPr="00290B8C">
        <w:t>have and will continue to</w:t>
      </w:r>
      <w:r>
        <w:t xml:space="preserve"> have</w:t>
      </w:r>
      <w:r w:rsidRPr="00290B8C">
        <w:t xml:space="preserve"> a sense of belonging and value whi</w:t>
      </w:r>
      <w:r>
        <w:t xml:space="preserve">ch will inevitably </w:t>
      </w:r>
      <w:r w:rsidRPr="00290B8C">
        <w:t>support and encourag</w:t>
      </w:r>
      <w:r>
        <w:t>e</w:t>
      </w:r>
      <w:r w:rsidRPr="00290B8C">
        <w:t xml:space="preserve"> their learning on the job.</w:t>
      </w:r>
      <w:r>
        <w:t xml:space="preserve"> </w:t>
      </w:r>
      <w:r w:rsidR="000F5B3F">
        <w:t>It shall also promote the cross-</w:t>
      </w:r>
      <w:r w:rsidRPr="00290B8C">
        <w:t>fertilisation and interdisciplinary learning</w:t>
      </w:r>
      <w:r>
        <w:t xml:space="preserve"> as they network regularly in their ‘own’ space. </w:t>
      </w:r>
    </w:p>
    <w:sectPr w:rsidR="00773290" w:rsidRPr="00C350B3" w:rsidSect="000C7BCB">
      <w:headerReference w:type="default" r:id="rId15"/>
      <w:footerReference w:type="default" r:id="rId16"/>
      <w:type w:val="continuous"/>
      <w:pgSz w:w="11899" w:h="16838"/>
      <w:pgMar w:top="1134" w:right="851" w:bottom="1134"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90" w:rsidRDefault="00773290">
      <w:r>
        <w:separator/>
      </w:r>
    </w:p>
  </w:endnote>
  <w:endnote w:type="continuationSeparator" w:id="0">
    <w:p w:rsidR="00773290" w:rsidRDefault="007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90" w:rsidRPr="000D3B7B" w:rsidRDefault="00546349" w:rsidP="00AA3AE9">
    <w:pPr>
      <w:pStyle w:val="Healthfooter"/>
      <w:rPr>
        <w:color w:val="0073CF"/>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1009016 VCP A4 newsletter portrait_Word setup bottom" style="position:absolute;margin-left:0;margin-top:754.1pt;width:599pt;height:28pt;z-index:-251658752;visibility:visible;mso-position-horizontal-relative:page;mso-position-vertical-relative:page">
          <v:imagedata r:id="rId1" o:title=""/>
          <w10:wrap anchorx="page" anchory="page"/>
        </v:shape>
      </w:pict>
    </w:r>
    <w:r w:rsidR="00773290" w:rsidRPr="000D3B7B">
      <w:rPr>
        <w:sz w:val="24"/>
      </w:rPr>
      <w:tab/>
    </w:r>
    <w:r w:rsidR="00773290"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90" w:rsidRPr="00B43637" w:rsidRDefault="00773290" w:rsidP="00AA3AE9">
    <w:pPr>
      <w:pStyle w:val="Healthfooter"/>
    </w:pPr>
    <w:r w:rsidRPr="00B43637">
      <w:t xml:space="preserve">Page </w:t>
    </w:r>
    <w:r w:rsidRPr="00B43637">
      <w:rPr>
        <w:rStyle w:val="PageNumber"/>
      </w:rPr>
      <w:fldChar w:fldCharType="begin"/>
    </w:r>
    <w:r w:rsidRPr="00B43637">
      <w:rPr>
        <w:rStyle w:val="PageNumber"/>
      </w:rPr>
      <w:instrText xml:space="preserve"> PAGE </w:instrText>
    </w:r>
    <w:r w:rsidRPr="00B43637">
      <w:rPr>
        <w:rStyle w:val="PageNumber"/>
      </w:rPr>
      <w:fldChar w:fldCharType="separate"/>
    </w:r>
    <w:r w:rsidR="00546349">
      <w:rPr>
        <w:rStyle w:val="PageNumber"/>
        <w:noProof/>
      </w:rPr>
      <w:t>5</w:t>
    </w:r>
    <w:r w:rsidRPr="00B43637">
      <w:rPr>
        <w:rStyle w:val="PageNumber"/>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90" w:rsidRDefault="00773290">
      <w:r>
        <w:separator/>
      </w:r>
    </w:p>
  </w:footnote>
  <w:footnote w:type="continuationSeparator" w:id="0">
    <w:p w:rsidR="00773290" w:rsidRDefault="0077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90" w:rsidRDefault="0077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50346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3C60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A92AC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0762C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1A67E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109C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E4F2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3E22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B8E5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3CDFEC"/>
    <w:lvl w:ilvl="0">
      <w:start w:val="1"/>
      <w:numFmt w:val="bullet"/>
      <w:lvlText w:val=""/>
      <w:lvlJc w:val="left"/>
      <w:pPr>
        <w:tabs>
          <w:tab w:val="num" w:pos="360"/>
        </w:tabs>
        <w:ind w:left="360" w:hanging="360"/>
      </w:pPr>
      <w:rPr>
        <w:rFonts w:ascii="Symbol" w:hAnsi="Symbol" w:hint="default"/>
      </w:rPr>
    </w:lvl>
  </w:abstractNum>
  <w:abstractNum w:abstractNumId="10">
    <w:nsid w:val="10567163"/>
    <w:multiLevelType w:val="hybridMultilevel"/>
    <w:tmpl w:val="72940F64"/>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nsid w:val="1F536F8A"/>
    <w:multiLevelType w:val="hybridMultilevel"/>
    <w:tmpl w:val="9AEE1F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4794B5E"/>
    <w:multiLevelType w:val="hybridMultilevel"/>
    <w:tmpl w:val="BE1CE392"/>
    <w:lvl w:ilvl="0" w:tplc="E21E55A2">
      <w:start w:val="1"/>
      <w:numFmt w:val="upperRoman"/>
      <w:lvlText w:val="%1."/>
      <w:lvlJc w:val="right"/>
      <w:pPr>
        <w:ind w:left="852" w:hanging="284"/>
      </w:pPr>
      <w:rPr>
        <w:rFonts w:cs="Times New Roman" w:hint="default"/>
        <w:b w:val="0"/>
        <w:i w:val="0"/>
        <w:color w:val="auto"/>
        <w:sz w:val="20"/>
        <w:szCs w:val="20"/>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nsid w:val="380D09B5"/>
    <w:multiLevelType w:val="hybridMultilevel"/>
    <w:tmpl w:val="0602D0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67A7EF3"/>
    <w:multiLevelType w:val="hybridMultilevel"/>
    <w:tmpl w:val="6486CE3A"/>
    <w:lvl w:ilvl="0" w:tplc="0C09000F">
      <w:start w:val="1"/>
      <w:numFmt w:val="decimal"/>
      <w:lvlText w:val="%1."/>
      <w:lvlJc w:val="left"/>
      <w:pPr>
        <w:tabs>
          <w:tab w:val="num" w:pos="720"/>
        </w:tabs>
        <w:ind w:left="720" w:hanging="360"/>
      </w:pPr>
      <w:rPr>
        <w:rFonts w:cs="Times New Roman"/>
      </w:r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5A00AB"/>
    <w:multiLevelType w:val="hybridMultilevel"/>
    <w:tmpl w:val="BB2E77B6"/>
    <w:lvl w:ilvl="0" w:tplc="04090013">
      <w:start w:val="1"/>
      <w:numFmt w:val="upperRoman"/>
      <w:lvlText w:val="%1."/>
      <w:lvlJc w:val="righ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1">
    <w:nsid w:val="4D020EE7"/>
    <w:multiLevelType w:val="hybridMultilevel"/>
    <w:tmpl w:val="15B05C6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510B53F9"/>
    <w:multiLevelType w:val="hybridMultilevel"/>
    <w:tmpl w:val="997EE0F8"/>
    <w:lvl w:ilvl="0" w:tplc="04090013">
      <w:start w:val="1"/>
      <w:numFmt w:val="upperRoman"/>
      <w:lvlText w:val="%1."/>
      <w:lvlJc w:val="righ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5">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0">
    <w:nsid w:val="6292472C"/>
    <w:multiLevelType w:val="hybridMultilevel"/>
    <w:tmpl w:val="CCF423E2"/>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8DB57AB"/>
    <w:multiLevelType w:val="hybridMultilevel"/>
    <w:tmpl w:val="2B804C0E"/>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3"/>
  </w:num>
  <w:num w:numId="4">
    <w:abstractNumId w:val="32"/>
  </w:num>
  <w:num w:numId="5">
    <w:abstractNumId w:val="17"/>
  </w:num>
  <w:num w:numId="6">
    <w:abstractNumId w:val="28"/>
  </w:num>
  <w:num w:numId="7">
    <w:abstractNumId w:val="25"/>
  </w:num>
  <w:num w:numId="8">
    <w:abstractNumId w:val="27"/>
  </w:num>
  <w:num w:numId="9">
    <w:abstractNumId w:val="18"/>
  </w:num>
  <w:num w:numId="10">
    <w:abstractNumId w:val="30"/>
  </w:num>
  <w:num w:numId="11">
    <w:abstractNumId w:val="23"/>
  </w:num>
  <w:num w:numId="12">
    <w:abstractNumId w:val="26"/>
  </w:num>
  <w:num w:numId="13">
    <w:abstractNumId w:val="29"/>
  </w:num>
  <w:num w:numId="14">
    <w:abstractNumId w:val="19"/>
  </w:num>
  <w:num w:numId="15">
    <w:abstractNumId w:val="11"/>
  </w:num>
  <w:num w:numId="16">
    <w:abstractNumId w:val="31"/>
  </w:num>
  <w:num w:numId="17">
    <w:abstractNumId w:val="16"/>
  </w:num>
  <w:num w:numId="18">
    <w:abstractNumId w:val="10"/>
  </w:num>
  <w:num w:numId="19">
    <w:abstractNumId w:val="20"/>
  </w:num>
  <w:num w:numId="20">
    <w:abstractNumId w:val="24"/>
  </w:num>
  <w:num w:numId="21">
    <w:abstractNumId w:val="21"/>
  </w:num>
  <w:num w:numId="22">
    <w:abstractNumId w:val="15"/>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BDF"/>
    <w:rsid w:val="000103B2"/>
    <w:rsid w:val="00022B1B"/>
    <w:rsid w:val="000744B3"/>
    <w:rsid w:val="00087DD7"/>
    <w:rsid w:val="000A2DDA"/>
    <w:rsid w:val="000B020D"/>
    <w:rsid w:val="000C73B7"/>
    <w:rsid w:val="000C7BCB"/>
    <w:rsid w:val="000D3B7B"/>
    <w:rsid w:val="000F5B3F"/>
    <w:rsid w:val="000F6E00"/>
    <w:rsid w:val="0010784F"/>
    <w:rsid w:val="00152349"/>
    <w:rsid w:val="00153C63"/>
    <w:rsid w:val="001629E5"/>
    <w:rsid w:val="00174B16"/>
    <w:rsid w:val="0019313E"/>
    <w:rsid w:val="001B16A4"/>
    <w:rsid w:val="001C1825"/>
    <w:rsid w:val="001D5A69"/>
    <w:rsid w:val="001F1B0A"/>
    <w:rsid w:val="002148C5"/>
    <w:rsid w:val="002200FF"/>
    <w:rsid w:val="00231279"/>
    <w:rsid w:val="00240B69"/>
    <w:rsid w:val="00261A4C"/>
    <w:rsid w:val="00290B8C"/>
    <w:rsid w:val="002A06FF"/>
    <w:rsid w:val="002A3F87"/>
    <w:rsid w:val="002B419B"/>
    <w:rsid w:val="002C5CED"/>
    <w:rsid w:val="002F2D79"/>
    <w:rsid w:val="002F30B4"/>
    <w:rsid w:val="0031752F"/>
    <w:rsid w:val="003523C8"/>
    <w:rsid w:val="0036495C"/>
    <w:rsid w:val="00383179"/>
    <w:rsid w:val="003A2648"/>
    <w:rsid w:val="003A7983"/>
    <w:rsid w:val="003C04A5"/>
    <w:rsid w:val="0041785A"/>
    <w:rsid w:val="0041787B"/>
    <w:rsid w:val="00436339"/>
    <w:rsid w:val="00497314"/>
    <w:rsid w:val="004C21C5"/>
    <w:rsid w:val="004C5231"/>
    <w:rsid w:val="004D3278"/>
    <w:rsid w:val="004D5764"/>
    <w:rsid w:val="00506E6D"/>
    <w:rsid w:val="005109BD"/>
    <w:rsid w:val="0053764F"/>
    <w:rsid w:val="00546349"/>
    <w:rsid w:val="00562364"/>
    <w:rsid w:val="005715F0"/>
    <w:rsid w:val="005932E4"/>
    <w:rsid w:val="00596437"/>
    <w:rsid w:val="005C5CEB"/>
    <w:rsid w:val="005E0AE5"/>
    <w:rsid w:val="005E208F"/>
    <w:rsid w:val="00615464"/>
    <w:rsid w:val="006331EF"/>
    <w:rsid w:val="00635B7A"/>
    <w:rsid w:val="00637D81"/>
    <w:rsid w:val="00642672"/>
    <w:rsid w:val="00652E1B"/>
    <w:rsid w:val="00676D9E"/>
    <w:rsid w:val="006E2F6A"/>
    <w:rsid w:val="006F7851"/>
    <w:rsid w:val="00714C8A"/>
    <w:rsid w:val="00723FAB"/>
    <w:rsid w:val="0072470E"/>
    <w:rsid w:val="00726D14"/>
    <w:rsid w:val="00773290"/>
    <w:rsid w:val="00780C55"/>
    <w:rsid w:val="00852859"/>
    <w:rsid w:val="008601E2"/>
    <w:rsid w:val="00864C99"/>
    <w:rsid w:val="00873498"/>
    <w:rsid w:val="008967CB"/>
    <w:rsid w:val="008A051E"/>
    <w:rsid w:val="008A44D4"/>
    <w:rsid w:val="008C7122"/>
    <w:rsid w:val="008E2D08"/>
    <w:rsid w:val="008E4B52"/>
    <w:rsid w:val="009040CB"/>
    <w:rsid w:val="009E68DA"/>
    <w:rsid w:val="00A0669E"/>
    <w:rsid w:val="00A8218E"/>
    <w:rsid w:val="00AA3AE9"/>
    <w:rsid w:val="00AA677A"/>
    <w:rsid w:val="00B22013"/>
    <w:rsid w:val="00B34E1C"/>
    <w:rsid w:val="00B36A76"/>
    <w:rsid w:val="00B43637"/>
    <w:rsid w:val="00B51C35"/>
    <w:rsid w:val="00B702E1"/>
    <w:rsid w:val="00B858C9"/>
    <w:rsid w:val="00BD1693"/>
    <w:rsid w:val="00BD18C0"/>
    <w:rsid w:val="00C03CCB"/>
    <w:rsid w:val="00C350B3"/>
    <w:rsid w:val="00C94B8B"/>
    <w:rsid w:val="00CE7A7C"/>
    <w:rsid w:val="00D010C4"/>
    <w:rsid w:val="00D11455"/>
    <w:rsid w:val="00D24367"/>
    <w:rsid w:val="00D66528"/>
    <w:rsid w:val="00D834C3"/>
    <w:rsid w:val="00D906F5"/>
    <w:rsid w:val="00DB0762"/>
    <w:rsid w:val="00E03A99"/>
    <w:rsid w:val="00E3025E"/>
    <w:rsid w:val="00E45895"/>
    <w:rsid w:val="00E61A6D"/>
    <w:rsid w:val="00E66131"/>
    <w:rsid w:val="00E91436"/>
    <w:rsid w:val="00EB293D"/>
    <w:rsid w:val="00EE0BDF"/>
    <w:rsid w:val="00EE38ED"/>
    <w:rsid w:val="00EE5A48"/>
    <w:rsid w:val="00F05FF6"/>
    <w:rsid w:val="00F11E0B"/>
    <w:rsid w:val="00F17178"/>
    <w:rsid w:val="00F70C56"/>
    <w:rsid w:val="00F72042"/>
    <w:rsid w:val="00F94E0A"/>
    <w:rsid w:val="00FA76B7"/>
    <w:rsid w:val="00FD1140"/>
    <w:rsid w:val="00FF2C5D"/>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63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436339"/>
    <w:rPr>
      <w:rFonts w:ascii="Courier" w:hAnsi="Courier"/>
    </w:rPr>
  </w:style>
  <w:style w:type="character" w:customStyle="1" w:styleId="PlainTextChar">
    <w:name w:val="Plain Text Char"/>
    <w:basedOn w:val="DefaultParagraphFont"/>
    <w:link w:val="PlainText"/>
    <w:uiPriority w:val="99"/>
    <w:semiHidden/>
    <w:locked/>
    <w:rsid w:val="00F11E0B"/>
    <w:rPr>
      <w:rFonts w:ascii="Courier New" w:hAnsi="Courier New" w:cs="Courier New"/>
      <w:sz w:val="20"/>
      <w:szCs w:val="20"/>
    </w:rPr>
  </w:style>
  <w:style w:type="paragraph" w:customStyle="1" w:styleId="Healthbody">
    <w:name w:val="Health body"/>
    <w:uiPriority w:val="99"/>
    <w:rsid w:val="00436339"/>
    <w:pPr>
      <w:spacing w:after="120" w:line="270" w:lineRule="atLeast"/>
    </w:pPr>
    <w:rPr>
      <w:rFonts w:ascii="Arial" w:eastAsia="MS Mincho" w:hAnsi="Arial"/>
      <w:sz w:val="20"/>
      <w:szCs w:val="24"/>
      <w:lang w:val="en-AU"/>
    </w:rPr>
  </w:style>
  <w:style w:type="paragraph" w:customStyle="1" w:styleId="Healthheading1">
    <w:name w:val="Health heading 1"/>
    <w:uiPriority w:val="99"/>
    <w:rsid w:val="00436339"/>
    <w:pPr>
      <w:keepNext/>
      <w:keepLines/>
      <w:spacing w:before="400" w:after="160" w:line="520" w:lineRule="atLeast"/>
    </w:pPr>
    <w:rPr>
      <w:rFonts w:ascii="Arial" w:hAnsi="Arial"/>
      <w:color w:val="0073CF"/>
      <w:sz w:val="44"/>
      <w:szCs w:val="24"/>
      <w:lang w:val="en-AU"/>
    </w:rPr>
  </w:style>
  <w:style w:type="paragraph" w:styleId="Header">
    <w:name w:val="header"/>
    <w:basedOn w:val="Normal"/>
    <w:link w:val="HeaderChar"/>
    <w:uiPriority w:val="99"/>
    <w:rsid w:val="00436339"/>
    <w:pPr>
      <w:tabs>
        <w:tab w:val="center" w:pos="4320"/>
        <w:tab w:val="right" w:pos="8640"/>
      </w:tabs>
    </w:pPr>
  </w:style>
  <w:style w:type="character" w:customStyle="1" w:styleId="HeaderChar">
    <w:name w:val="Header Char"/>
    <w:basedOn w:val="DefaultParagraphFont"/>
    <w:link w:val="Header"/>
    <w:uiPriority w:val="99"/>
    <w:semiHidden/>
    <w:locked/>
    <w:rsid w:val="00F11E0B"/>
    <w:rPr>
      <w:rFonts w:ascii="Cambria" w:hAnsi="Cambria" w:cs="Times New Roman"/>
      <w:sz w:val="24"/>
      <w:szCs w:val="24"/>
    </w:rPr>
  </w:style>
  <w:style w:type="paragraph" w:customStyle="1" w:styleId="Healthheading2">
    <w:name w:val="Health heading 2"/>
    <w:uiPriority w:val="99"/>
    <w:rsid w:val="00436339"/>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uiPriority w:val="99"/>
    <w:rsid w:val="00436339"/>
    <w:pPr>
      <w:keepNext/>
      <w:keepLines/>
      <w:spacing w:before="280" w:after="120" w:line="280" w:lineRule="atLeast"/>
    </w:pPr>
    <w:rPr>
      <w:rFonts w:ascii="Arial" w:eastAsia="MS Mincho" w:hAnsi="Arial"/>
      <w:b/>
      <w:sz w:val="24"/>
      <w:szCs w:val="24"/>
      <w:lang w:val="en-AU"/>
    </w:rPr>
  </w:style>
  <w:style w:type="paragraph" w:customStyle="1" w:styleId="Bannertablecell">
    <w:name w:val="Banner table cell"/>
    <w:uiPriority w:val="99"/>
    <w:rsid w:val="00436339"/>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uiPriority w:val="99"/>
    <w:rsid w:val="00436339"/>
    <w:pPr>
      <w:keepNext/>
      <w:keepLines/>
      <w:spacing w:before="240" w:after="80" w:line="240" w:lineRule="atLeast"/>
    </w:pPr>
    <w:rPr>
      <w:b/>
    </w:rPr>
  </w:style>
  <w:style w:type="paragraph" w:customStyle="1" w:styleId="Healthbullet1">
    <w:name w:val="Health bullet 1"/>
    <w:basedOn w:val="Healthbody"/>
    <w:uiPriority w:val="99"/>
    <w:rsid w:val="00436339"/>
    <w:pPr>
      <w:numPr>
        <w:numId w:val="4"/>
      </w:numPr>
      <w:spacing w:after="40"/>
    </w:pPr>
  </w:style>
  <w:style w:type="paragraph" w:customStyle="1" w:styleId="Healthmainheading">
    <w:name w:val="Health main heading"/>
    <w:uiPriority w:val="99"/>
    <w:rsid w:val="00436339"/>
    <w:rPr>
      <w:rFonts w:ascii="Arial" w:hAnsi="Arial"/>
      <w:color w:val="FFFFFF"/>
      <w:sz w:val="44"/>
      <w:szCs w:val="24"/>
      <w:lang w:val="en-AU"/>
    </w:rPr>
  </w:style>
  <w:style w:type="paragraph" w:customStyle="1" w:styleId="Healthmainsubheading">
    <w:name w:val="Health main subheading"/>
    <w:uiPriority w:val="99"/>
    <w:rsid w:val="00436339"/>
    <w:rPr>
      <w:rFonts w:ascii="Arial" w:hAnsi="Arial"/>
      <w:color w:val="FFFFFF"/>
      <w:sz w:val="28"/>
      <w:szCs w:val="24"/>
      <w:lang w:val="en-AU"/>
    </w:rPr>
  </w:style>
  <w:style w:type="paragraph" w:styleId="Footer">
    <w:name w:val="footer"/>
    <w:basedOn w:val="Normal"/>
    <w:link w:val="FooterChar"/>
    <w:uiPriority w:val="99"/>
    <w:semiHidden/>
    <w:rsid w:val="00436339"/>
    <w:pPr>
      <w:tabs>
        <w:tab w:val="center" w:pos="4320"/>
        <w:tab w:val="right" w:pos="8640"/>
      </w:tabs>
    </w:pPr>
  </w:style>
  <w:style w:type="character" w:customStyle="1" w:styleId="FooterChar">
    <w:name w:val="Footer Char"/>
    <w:basedOn w:val="DefaultParagraphFont"/>
    <w:link w:val="Footer"/>
    <w:uiPriority w:val="99"/>
    <w:semiHidden/>
    <w:locked/>
    <w:rsid w:val="00F11E0B"/>
    <w:rPr>
      <w:rFonts w:ascii="Cambria" w:hAnsi="Cambria" w:cs="Times New Roman"/>
      <w:sz w:val="24"/>
      <w:szCs w:val="24"/>
    </w:rPr>
  </w:style>
  <w:style w:type="character" w:styleId="PageNumber">
    <w:name w:val="page number"/>
    <w:basedOn w:val="DefaultParagraphFont"/>
    <w:uiPriority w:val="99"/>
    <w:rsid w:val="00436339"/>
    <w:rPr>
      <w:rFonts w:cs="Times New Roman"/>
    </w:rPr>
  </w:style>
  <w:style w:type="paragraph" w:customStyle="1" w:styleId="Healthfooter">
    <w:name w:val="Health footer"/>
    <w:uiPriority w:val="99"/>
    <w:rsid w:val="00436339"/>
    <w:pPr>
      <w:tabs>
        <w:tab w:val="right" w:pos="9923"/>
      </w:tabs>
    </w:pPr>
    <w:rPr>
      <w:rFonts w:ascii="Arial" w:hAnsi="Arial"/>
      <w:color w:val="808080"/>
      <w:sz w:val="20"/>
      <w:szCs w:val="24"/>
      <w:lang w:val="en-AU"/>
    </w:rPr>
  </w:style>
  <w:style w:type="paragraph" w:styleId="FootnoteText">
    <w:name w:val="footnote text"/>
    <w:basedOn w:val="Normal"/>
    <w:link w:val="FootnoteTextChar"/>
    <w:uiPriority w:val="99"/>
    <w:semiHidden/>
    <w:rsid w:val="00436339"/>
  </w:style>
  <w:style w:type="character" w:customStyle="1" w:styleId="FootnoteTextChar">
    <w:name w:val="Footnote Text Char"/>
    <w:basedOn w:val="DefaultParagraphFont"/>
    <w:link w:val="FootnoteText"/>
    <w:uiPriority w:val="99"/>
    <w:semiHidden/>
    <w:locked/>
    <w:rsid w:val="00F11E0B"/>
    <w:rPr>
      <w:rFonts w:ascii="Cambria" w:hAnsi="Cambria" w:cs="Times New Roman"/>
      <w:sz w:val="20"/>
      <w:szCs w:val="20"/>
    </w:rPr>
  </w:style>
  <w:style w:type="paragraph" w:customStyle="1" w:styleId="Healthbullet1lastline">
    <w:name w:val="Health bullet 1 last line"/>
    <w:basedOn w:val="Healthbullet1"/>
    <w:uiPriority w:val="99"/>
    <w:rsid w:val="00436339"/>
    <w:pPr>
      <w:spacing w:after="120"/>
    </w:pPr>
  </w:style>
  <w:style w:type="paragraph" w:customStyle="1" w:styleId="Healthbullet2">
    <w:name w:val="Health bullet 2"/>
    <w:basedOn w:val="Healthbullet1"/>
    <w:uiPriority w:val="99"/>
    <w:rsid w:val="00436339"/>
    <w:pPr>
      <w:numPr>
        <w:numId w:val="7"/>
      </w:numPr>
      <w:ind w:left="568" w:hanging="284"/>
    </w:pPr>
  </w:style>
  <w:style w:type="paragraph" w:customStyle="1" w:styleId="Healthbullet2lastline">
    <w:name w:val="Health bullet 2 last line"/>
    <w:basedOn w:val="Healthbullet1"/>
    <w:uiPriority w:val="99"/>
    <w:rsid w:val="00436339"/>
    <w:pPr>
      <w:spacing w:after="120"/>
    </w:pPr>
  </w:style>
  <w:style w:type="character" w:styleId="FootnoteReference">
    <w:name w:val="footnote reference"/>
    <w:basedOn w:val="DefaultParagraphFont"/>
    <w:uiPriority w:val="99"/>
    <w:semiHidden/>
    <w:rsid w:val="00436339"/>
    <w:rPr>
      <w:rFonts w:cs="Times New Roman"/>
      <w:vertAlign w:val="superscript"/>
    </w:rPr>
  </w:style>
  <w:style w:type="paragraph" w:customStyle="1" w:styleId="Healthtablebullet">
    <w:name w:val="Health table bullet"/>
    <w:basedOn w:val="Healthtablebody"/>
    <w:uiPriority w:val="99"/>
    <w:rsid w:val="00436339"/>
    <w:pPr>
      <w:numPr>
        <w:numId w:val="8"/>
      </w:numPr>
    </w:pPr>
  </w:style>
  <w:style w:type="paragraph" w:customStyle="1" w:styleId="Healthfootnote">
    <w:name w:val="Health footnote"/>
    <w:uiPriority w:val="99"/>
    <w:rsid w:val="002F30B4"/>
    <w:pPr>
      <w:spacing w:after="60" w:line="200" w:lineRule="atLeast"/>
    </w:pPr>
    <w:rPr>
      <w:rFonts w:ascii="Arial" w:hAnsi="Arial"/>
      <w:color w:val="000000"/>
      <w:sz w:val="16"/>
      <w:szCs w:val="24"/>
      <w:lang w:val="en-AU"/>
    </w:rPr>
  </w:style>
  <w:style w:type="paragraph" w:customStyle="1" w:styleId="Healthtablecaption">
    <w:name w:val="Health table caption"/>
    <w:uiPriority w:val="99"/>
    <w:rsid w:val="00436339"/>
    <w:pPr>
      <w:spacing w:before="240" w:after="80" w:line="240" w:lineRule="atLeast"/>
    </w:pPr>
    <w:rPr>
      <w:rFonts w:ascii="Arial" w:eastAsia="MS Mincho" w:hAnsi="Arial"/>
      <w:b/>
      <w:sz w:val="20"/>
      <w:szCs w:val="24"/>
      <w:lang w:val="en-AU"/>
    </w:rPr>
  </w:style>
  <w:style w:type="paragraph" w:customStyle="1" w:styleId="Healthfigurecaption">
    <w:name w:val="Health figure caption"/>
    <w:uiPriority w:val="99"/>
    <w:rsid w:val="00436339"/>
    <w:pPr>
      <w:spacing w:before="240" w:after="120" w:line="240" w:lineRule="atLeast"/>
    </w:pPr>
    <w:rPr>
      <w:rFonts w:ascii="Arial" w:eastAsia="MS Mincho" w:hAnsi="Arial"/>
      <w:b/>
      <w:sz w:val="20"/>
      <w:szCs w:val="24"/>
      <w:lang w:val="en-AU"/>
    </w:rPr>
  </w:style>
  <w:style w:type="paragraph" w:customStyle="1" w:styleId="Healthtablecolumnhead">
    <w:name w:val="Health table column head"/>
    <w:uiPriority w:val="99"/>
    <w:rsid w:val="00436339"/>
    <w:pPr>
      <w:spacing w:after="40" w:line="220" w:lineRule="atLeast"/>
    </w:pPr>
    <w:rPr>
      <w:rFonts w:ascii="Arial" w:eastAsia="MS Mincho" w:hAnsi="Arial"/>
      <w:b/>
      <w:color w:val="FFFFFF"/>
      <w:sz w:val="18"/>
      <w:szCs w:val="24"/>
      <w:lang w:val="en-AU"/>
    </w:rPr>
  </w:style>
  <w:style w:type="paragraph" w:customStyle="1" w:styleId="Healthtablebody">
    <w:name w:val="Health table body"/>
    <w:uiPriority w:val="99"/>
    <w:rsid w:val="00436339"/>
    <w:pPr>
      <w:spacing w:after="40" w:line="220" w:lineRule="atLeast"/>
    </w:pPr>
    <w:rPr>
      <w:rFonts w:ascii="Arial" w:eastAsia="MS Mincho" w:hAnsi="Arial"/>
      <w:sz w:val="18"/>
      <w:szCs w:val="24"/>
      <w:lang w:val="en-AU"/>
    </w:rPr>
  </w:style>
  <w:style w:type="paragraph" w:styleId="BalloonText">
    <w:name w:val="Balloon Text"/>
    <w:basedOn w:val="Normal"/>
    <w:link w:val="BalloonTextChar"/>
    <w:uiPriority w:val="99"/>
    <w:semiHidden/>
    <w:rsid w:val="00F70C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C56"/>
    <w:rPr>
      <w:rFonts w:ascii="Tahoma" w:hAnsi="Tahoma" w:cs="Tahoma"/>
      <w:sz w:val="16"/>
      <w:szCs w:val="16"/>
    </w:rPr>
  </w:style>
  <w:style w:type="paragraph" w:styleId="ListParagraph">
    <w:name w:val="List Paragraph"/>
    <w:basedOn w:val="Normal"/>
    <w:uiPriority w:val="99"/>
    <w:qFormat/>
    <w:rsid w:val="00F70C56"/>
    <w:pPr>
      <w:ind w:left="720"/>
      <w:contextualSpacing/>
    </w:pPr>
  </w:style>
  <w:style w:type="paragraph" w:styleId="NormalWeb">
    <w:name w:val="Normal (Web)"/>
    <w:basedOn w:val="Normal"/>
    <w:uiPriority w:val="99"/>
    <w:rsid w:val="00596437"/>
    <w:pPr>
      <w:spacing w:after="100" w:afterAutospacing="1"/>
    </w:pPr>
    <w:rPr>
      <w:rFonts w:ascii="Times New Roman" w:hAnsi="Times New Roman"/>
    </w:rPr>
  </w:style>
  <w:style w:type="paragraph" w:styleId="Caption">
    <w:name w:val="caption"/>
    <w:basedOn w:val="Normal"/>
    <w:next w:val="Normal"/>
    <w:uiPriority w:val="99"/>
    <w:qFormat/>
    <w:locked/>
    <w:rsid w:val="003A79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1605">
      <w:marLeft w:val="0"/>
      <w:marRight w:val="0"/>
      <w:marTop w:val="30"/>
      <w:marBottom w:val="0"/>
      <w:divBdr>
        <w:top w:val="none" w:sz="0" w:space="0" w:color="auto"/>
        <w:left w:val="none" w:sz="0" w:space="0" w:color="auto"/>
        <w:bottom w:val="none" w:sz="0" w:space="0" w:color="auto"/>
        <w:right w:val="none" w:sz="0" w:space="0" w:color="auto"/>
      </w:divBdr>
      <w:divsChild>
        <w:div w:id="469371607">
          <w:marLeft w:val="0"/>
          <w:marRight w:val="0"/>
          <w:marTop w:val="0"/>
          <w:marBottom w:val="0"/>
          <w:divBdr>
            <w:top w:val="none" w:sz="0" w:space="0" w:color="auto"/>
            <w:left w:val="none" w:sz="0" w:space="0" w:color="auto"/>
            <w:bottom w:val="none" w:sz="0" w:space="0" w:color="auto"/>
            <w:right w:val="none" w:sz="0" w:space="0" w:color="auto"/>
          </w:divBdr>
          <w:divsChild>
            <w:div w:id="469371606">
              <w:marLeft w:val="0"/>
              <w:marRight w:val="0"/>
              <w:marTop w:val="0"/>
              <w:marBottom w:val="0"/>
              <w:divBdr>
                <w:top w:val="none" w:sz="0" w:space="0" w:color="auto"/>
                <w:left w:val="none" w:sz="0" w:space="0" w:color="auto"/>
                <w:bottom w:val="none" w:sz="0" w:space="0" w:color="auto"/>
                <w:right w:val="none" w:sz="0" w:space="0" w:color="auto"/>
              </w:divBdr>
              <w:divsChild>
                <w:div w:id="4693716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Microsoft_Excel_97-2003_Worksheet2.xls"/></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13</cp:revision>
  <cp:lastPrinted>2014-10-07T02:20:00Z</cp:lastPrinted>
  <dcterms:created xsi:type="dcterms:W3CDTF">2013-05-03T05:37:00Z</dcterms:created>
  <dcterms:modified xsi:type="dcterms:W3CDTF">2014-10-07T02:21:00Z</dcterms:modified>
</cp:coreProperties>
</file>