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B37B1D">
        <w:tc>
          <w:tcPr>
            <w:tcW w:w="11910" w:type="dxa"/>
          </w:tcPr>
          <w:p w:rsidR="00B37B1D" w:rsidRPr="00022B1B" w:rsidRDefault="00DC2CDF" w:rsidP="000C7BCB">
            <w:pPr>
              <w:pStyle w:val="Bannertablecell"/>
            </w:pPr>
            <w:r>
              <w:rPr>
                <w:noProof/>
                <w:lang w:val="en-US"/>
              </w:rPr>
              <w:pict>
                <v:shapetype id="_x0000_t202" coordsize="21600,21600" o:spt="202" path="m,l,21600r21600,l21600,xe">
                  <v:stroke joinstyle="miter"/>
                  <v:path gradientshapeok="t" o:connecttype="rect"/>
                </v:shapetype>
                <v:shape id="_x0000_s1027" type="#_x0000_t202" style="position:absolute;margin-left:56.7pt;margin-top:134.45pt;width:340.15pt;height:22.7pt;z-index:251657728;mso-position-horizontal-relative:page;mso-position-vertical-relative:page" filled="f" stroked="f">
                  <v:textbox style="mso-next-textbox:#_x0000_s1027" inset="0,0,0,0">
                    <w:txbxContent>
                      <w:p w:rsidR="00B37B1D" w:rsidRPr="0041787B" w:rsidRDefault="00B37B1D" w:rsidP="000C7BCB">
                        <w:pPr>
                          <w:pStyle w:val="Healthmainsubheading"/>
                        </w:pPr>
                        <w:r>
                          <w:t xml:space="preserve">Final report </w:t>
                        </w:r>
                      </w:p>
                    </w:txbxContent>
                  </v:textbox>
                  <w10:wrap anchorx="page" anchory="page"/>
                </v:shape>
              </w:pict>
            </w:r>
            <w:r>
              <w:rPr>
                <w:noProof/>
                <w:lang w:val="en-US"/>
              </w:rPr>
              <w:pict>
                <v:shape id="_x0000_s1028" type="#_x0000_t202" style="position:absolute;margin-left:56.7pt;margin-top:65.2pt;width:340.15pt;height:54pt;z-index:251656704;mso-position-horizontal-relative:page;mso-position-vertical-relative:page" filled="f" stroked="f">
                  <v:textbox style="mso-next-textbox:#_x0000_s1028" inset="0,0,0,0">
                    <w:txbxContent>
                      <w:p w:rsidR="00B37B1D" w:rsidRPr="0041787B" w:rsidRDefault="00477AF9" w:rsidP="000C7BCB">
                        <w:pPr>
                          <w:pStyle w:val="Healthmainheading"/>
                        </w:pPr>
                        <w:r>
                          <w:t>Small Capital and Equipment Program</w:t>
                        </w:r>
                      </w:p>
                    </w:txbxContent>
                  </v:textbox>
                  <w10:wrap anchorx="page" anchory="page"/>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6.7pt;margin-top:793.8pt;width:57pt;height:33pt;z-index:251658752;mso-position-horizontal-relative:page;mso-position-vertical-relative:page">
                  <v:imagedata r:id="rId8" o:title=""/>
                  <w10:wrap anchorx="page" anchory="page"/>
                  <w10:anchorlock/>
                </v:shape>
              </w:pict>
            </w:r>
            <w:r>
              <w:pict>
                <v:shape id="_x0000_i1025" type="#_x0000_t75" style="width:595.35pt;height:159.05pt">
                  <v:imagedata r:id="rId9" o:title=""/>
                </v:shape>
              </w:pict>
            </w:r>
          </w:p>
        </w:tc>
      </w:tr>
    </w:tbl>
    <w:p w:rsidR="00B37B1D" w:rsidRDefault="00B37B1D" w:rsidP="000F6E00">
      <w:pPr>
        <w:pStyle w:val="Healthbody"/>
        <w:spacing w:before="120"/>
        <w:sectPr w:rsidR="00B37B1D" w:rsidSect="000C7BCB">
          <w:footerReference w:type="default" r:id="rId10"/>
          <w:type w:val="continuous"/>
          <w:pgSz w:w="11899" w:h="16838"/>
          <w:pgMar w:top="0" w:right="851" w:bottom="2155" w:left="1134" w:header="0" w:footer="567" w:gutter="0"/>
          <w:cols w:space="708"/>
        </w:sectPr>
      </w:pPr>
    </w:p>
    <w:p w:rsidR="00B37B1D" w:rsidRDefault="00B37B1D" w:rsidP="00CF34D6">
      <w:pPr>
        <w:pStyle w:val="Healthheading1"/>
        <w:spacing w:before="600"/>
      </w:pPr>
      <w:r w:rsidRPr="00BB7A3A">
        <w:lastRenderedPageBreak/>
        <w:t xml:space="preserve">Resourcing </w:t>
      </w:r>
      <w:r>
        <w:t>s</w:t>
      </w:r>
      <w:r w:rsidRPr="00BB7A3A">
        <w:t xml:space="preserve">tudents and </w:t>
      </w:r>
      <w:r>
        <w:t>s</w:t>
      </w:r>
      <w:r w:rsidRPr="00BB7A3A">
        <w:t>upervisors</w:t>
      </w:r>
    </w:p>
    <w:p w:rsidR="00B37B1D" w:rsidRPr="009A05FE" w:rsidRDefault="00B37B1D" w:rsidP="00CF34D6">
      <w:pPr>
        <w:pStyle w:val="Healthheading3"/>
        <w:spacing w:after="600"/>
      </w:pPr>
      <w:r w:rsidRPr="00637D81">
        <w:t xml:space="preserve">Date </w:t>
      </w:r>
      <w:r>
        <w:t>c</w:t>
      </w:r>
      <w:r w:rsidRPr="00637D81">
        <w:t xml:space="preserve">ompleted: </w:t>
      </w:r>
      <w:r>
        <w:t>28 November 2012</w:t>
      </w:r>
    </w:p>
    <w:p w:rsidR="00B37B1D" w:rsidRPr="00CF34D6" w:rsidRDefault="00B37B1D" w:rsidP="00CF34D6">
      <w:pPr>
        <w:pStyle w:val="Healthheading2"/>
      </w:pPr>
      <w:r w:rsidRPr="00305463">
        <w:t>Background</w:t>
      </w:r>
      <w:r w:rsidRPr="00B702E1">
        <w:t xml:space="preserve"> and </w:t>
      </w:r>
      <w:r>
        <w:t>c</w:t>
      </w:r>
      <w:r w:rsidRPr="00B702E1">
        <w:t>ontext</w:t>
      </w:r>
    </w:p>
    <w:p w:rsidR="00B37B1D" w:rsidRPr="00305463" w:rsidRDefault="00B37B1D" w:rsidP="00305463">
      <w:pPr>
        <w:pStyle w:val="Healthbody"/>
      </w:pPr>
      <w:r w:rsidRPr="00305463">
        <w:t xml:space="preserve">Nillumbik Community Health Service </w:t>
      </w:r>
      <w:r w:rsidR="00806921">
        <w:t xml:space="preserve">(NCHS) </w:t>
      </w:r>
      <w:r w:rsidRPr="00305463">
        <w:t xml:space="preserve">has a number of different allied health disciplines and has provided clinical placements for a range of students including those from social work, dietetics, physiotherapy and occupational therapy. Whilst staff appreciate the value of student placements and have a broad range of skills and experience to provide rich learning opportunities for students one of the main barriers to accepting student placements has been a lack of internal resources for both staff and students. This has included both IT equipment (computers/printers) and clinical tools, such as text books and specialised equipment as well as dedicated student space. </w:t>
      </w:r>
      <w:proofErr w:type="gramStart"/>
      <w:r w:rsidRPr="00305463">
        <w:t>Insufficient resources has</w:t>
      </w:r>
      <w:proofErr w:type="gramEnd"/>
      <w:r w:rsidRPr="00305463">
        <w:t xml:space="preserve"> meant that opportunities for students to practice assessments and techniques in non</w:t>
      </w:r>
      <w:r w:rsidR="00477AF9">
        <w:noBreakHyphen/>
      </w:r>
      <w:r w:rsidRPr="00305463">
        <w:t>clinical time has been limited as resources are reserved for ‘real’ clinical use.</w:t>
      </w:r>
    </w:p>
    <w:p w:rsidR="00B37B1D" w:rsidRPr="00305463" w:rsidRDefault="00B37B1D" w:rsidP="00305463">
      <w:pPr>
        <w:pStyle w:val="Healthbody"/>
      </w:pPr>
      <w:r w:rsidRPr="00305463">
        <w:t xml:space="preserve">The majority of staff at NCHS have been working for many years and are employed as Grade 2 clinicians. Many bring their own resources to use in their practice and capacity to purchase new text books or equipment can be limited. If </w:t>
      </w:r>
      <w:proofErr w:type="gramStart"/>
      <w:r w:rsidRPr="00305463">
        <w:t>staff leave</w:t>
      </w:r>
      <w:proofErr w:type="gramEnd"/>
      <w:r w:rsidRPr="00305463">
        <w:t>, they may take resources with them, meaning that students may not have easy or ongoing access to valuable information or equipment.</w:t>
      </w:r>
    </w:p>
    <w:p w:rsidR="00B37B1D" w:rsidRPr="00305463" w:rsidRDefault="00B37B1D" w:rsidP="00305463">
      <w:pPr>
        <w:pStyle w:val="Healthbody"/>
      </w:pPr>
      <w:r w:rsidRPr="00305463">
        <w:t xml:space="preserve">In community health clients may present with many different needs which are often not covered at </w:t>
      </w:r>
      <w:r w:rsidR="00806921">
        <w:t>u</w:t>
      </w:r>
      <w:r w:rsidRPr="00305463">
        <w:t xml:space="preserve">niversity in core curriculum units. Assessment and provision of care as part of interdisciplinary teams and within a client’s home are two key features of a clinical placement at NCHS which may not be experienced at other organisations or fully covered during university training. Access to a variety of resources and clinical equipment will enhance the quality of the placement and ensure that students get the most of their placement with a combination of evidence based theory and practice. For many students the value of experiential learning can be consolidated by access to resources which provide the theoretical background. </w:t>
      </w:r>
    </w:p>
    <w:p w:rsidR="00B37B1D" w:rsidRPr="00305463" w:rsidRDefault="00B37B1D" w:rsidP="00305463">
      <w:pPr>
        <w:pStyle w:val="Healthbody"/>
        <w:rPr>
          <w:szCs w:val="22"/>
        </w:rPr>
      </w:pPr>
      <w:r w:rsidRPr="00305463">
        <w:t xml:space="preserve">Through the purchase of additional IT equipment, relevant texts and clinical equipment, it is expected that both students and supervisors will experience a more supported placement. This will in turn increase the </w:t>
      </w:r>
      <w:r w:rsidR="00477AF9">
        <w:t>o</w:t>
      </w:r>
      <w:r w:rsidRPr="00305463">
        <w:t xml:space="preserve">rganisation’s willingness to accept student placements. </w:t>
      </w:r>
    </w:p>
    <w:p w:rsidR="00B37B1D" w:rsidRPr="00305463" w:rsidRDefault="00806921" w:rsidP="00305463">
      <w:pPr>
        <w:pStyle w:val="Healthheading2"/>
        <w:rPr>
          <w:szCs w:val="22"/>
        </w:rPr>
      </w:pPr>
      <w:r>
        <w:br w:type="page"/>
      </w:r>
      <w:r w:rsidR="00B37B1D" w:rsidRPr="00B702E1">
        <w:t xml:space="preserve">Project </w:t>
      </w:r>
      <w:r w:rsidR="00B37B1D">
        <w:t>o</w:t>
      </w:r>
      <w:r w:rsidR="00B37B1D" w:rsidRPr="00B702E1">
        <w:t xml:space="preserve">bjectives and </w:t>
      </w:r>
      <w:r w:rsidR="00B37B1D">
        <w:t>e</w:t>
      </w:r>
      <w:r w:rsidR="00B37B1D" w:rsidRPr="00B702E1">
        <w:t xml:space="preserve">xpected </w:t>
      </w:r>
      <w:r w:rsidR="00B37B1D">
        <w:t>i</w:t>
      </w:r>
      <w:r w:rsidR="00B37B1D" w:rsidRPr="00B702E1">
        <w:t xml:space="preserve">mpacts </w:t>
      </w:r>
    </w:p>
    <w:p w:rsidR="00B37B1D" w:rsidRPr="00A5630F" w:rsidRDefault="00477AF9" w:rsidP="009A05FE">
      <w:pPr>
        <w:pStyle w:val="Healthbullet1"/>
        <w:rPr>
          <w:szCs w:val="20"/>
        </w:rPr>
      </w:pPr>
      <w:r>
        <w:rPr>
          <w:szCs w:val="20"/>
        </w:rPr>
        <w:t>E</w:t>
      </w:r>
      <w:r w:rsidR="00B37B1D" w:rsidRPr="00A5630F">
        <w:rPr>
          <w:szCs w:val="20"/>
        </w:rPr>
        <w:t>n</w:t>
      </w:r>
      <w:r w:rsidR="00B37B1D">
        <w:rPr>
          <w:szCs w:val="20"/>
        </w:rPr>
        <w:t xml:space="preserve">hance learning outcomes/quality </w:t>
      </w:r>
      <w:r w:rsidR="00B37B1D" w:rsidRPr="00A5630F">
        <w:rPr>
          <w:szCs w:val="20"/>
        </w:rPr>
        <w:t>of student placement for students</w:t>
      </w:r>
    </w:p>
    <w:p w:rsidR="00B37B1D" w:rsidRPr="00A5630F" w:rsidRDefault="00477AF9" w:rsidP="009A05FE">
      <w:pPr>
        <w:pStyle w:val="Healthbullet1"/>
        <w:rPr>
          <w:szCs w:val="20"/>
        </w:rPr>
      </w:pPr>
      <w:r>
        <w:rPr>
          <w:szCs w:val="20"/>
        </w:rPr>
        <w:t>E</w:t>
      </w:r>
      <w:r w:rsidR="00B37B1D" w:rsidRPr="00A5630F">
        <w:rPr>
          <w:szCs w:val="20"/>
        </w:rPr>
        <w:t>nhance interdisciplinary learning</w:t>
      </w:r>
    </w:p>
    <w:p w:rsidR="00B37B1D" w:rsidRPr="00A5630F" w:rsidRDefault="00477AF9" w:rsidP="009A05FE">
      <w:pPr>
        <w:pStyle w:val="Healthbullet1lastline"/>
      </w:pPr>
      <w:r>
        <w:t>I</w:t>
      </w:r>
      <w:r w:rsidR="00B37B1D" w:rsidRPr="00A5630F">
        <w:t xml:space="preserve">ncrease capacity to offer more than </w:t>
      </w:r>
      <w:r w:rsidR="00B37B1D">
        <w:t>one</w:t>
      </w:r>
      <w:r w:rsidR="00B37B1D" w:rsidRPr="00A5630F">
        <w:t xml:space="preserve"> student placement at a</w:t>
      </w:r>
      <w:r>
        <w:t xml:space="preserve"> time</w:t>
      </w:r>
      <w:r w:rsidR="00806921">
        <w:t>.</w:t>
      </w:r>
    </w:p>
    <w:p w:rsidR="00B37B1D" w:rsidRPr="009A05FE" w:rsidRDefault="00B37B1D" w:rsidP="009A05FE">
      <w:pPr>
        <w:pStyle w:val="Healthheading3"/>
        <w:rPr>
          <w:rFonts w:ascii="Verdana" w:hAnsi="Verdana"/>
          <w:sz w:val="20"/>
          <w:szCs w:val="20"/>
        </w:rPr>
      </w:pPr>
      <w:r w:rsidRPr="00A5630F">
        <w:lastRenderedPageBreak/>
        <w:t xml:space="preserve">Development of a modern student resource </w:t>
      </w:r>
      <w:r>
        <w:t>library</w:t>
      </w:r>
    </w:p>
    <w:p w:rsidR="00B37B1D" w:rsidRDefault="00B37B1D" w:rsidP="009A05FE">
      <w:pPr>
        <w:pStyle w:val="Healthbullet1"/>
      </w:pPr>
      <w:r>
        <w:t>Increased capacity for students to work effectively with community health clients leading to greater clinician confide</w:t>
      </w:r>
      <w:r w:rsidR="003726D5">
        <w:t>nce in accepting students (i.e.</w:t>
      </w:r>
      <w:r>
        <w:t xml:space="preserve"> improved ‘sharing’ of workload).</w:t>
      </w:r>
    </w:p>
    <w:p w:rsidR="00B37B1D" w:rsidRDefault="00B37B1D" w:rsidP="009A05FE">
      <w:pPr>
        <w:pStyle w:val="Healthbullet1"/>
      </w:pPr>
      <w:r>
        <w:t>Increased capacity to provide resources for students to enhance learning outcomes, enabling clinicians to encourage more self</w:t>
      </w:r>
      <w:r w:rsidR="00477AF9">
        <w:noBreakHyphen/>
      </w:r>
      <w:r>
        <w:t>directed learning and again decrease workload associated with student placements.</w:t>
      </w:r>
    </w:p>
    <w:p w:rsidR="00B37B1D" w:rsidRDefault="00B37B1D" w:rsidP="009A05FE">
      <w:pPr>
        <w:pStyle w:val="Healthbullet1"/>
      </w:pPr>
      <w:r>
        <w:t>Provision of resources or access to resources to support interdisciplinary learning whilst on placement.</w:t>
      </w:r>
    </w:p>
    <w:p w:rsidR="00B37B1D" w:rsidRPr="009A05FE" w:rsidRDefault="00B37B1D" w:rsidP="009A05FE">
      <w:pPr>
        <w:pStyle w:val="Healthbullet1"/>
        <w:rPr>
          <w:szCs w:val="22"/>
        </w:rPr>
      </w:pPr>
      <w:r>
        <w:t xml:space="preserve">Capacity for </w:t>
      </w:r>
      <w:r w:rsidR="00477AF9">
        <w:t>students to complete projects/</w:t>
      </w:r>
      <w:r>
        <w:t xml:space="preserve">assignments associated with placements whilst on site at </w:t>
      </w:r>
      <w:r w:rsidR="003726D5">
        <w:t>NCHS and to produce brochures, posters and resources</w:t>
      </w:r>
      <w:r>
        <w:t>, which can be used by NCHS as client resources.</w:t>
      </w:r>
    </w:p>
    <w:p w:rsidR="00B37B1D" w:rsidRPr="00B702E1" w:rsidRDefault="00B37B1D" w:rsidP="009A05FE">
      <w:pPr>
        <w:pStyle w:val="Healthheading2"/>
      </w:pPr>
      <w:r>
        <w:t>Project</w:t>
      </w:r>
      <w:r w:rsidRPr="00B702E1">
        <w:t xml:space="preserve"> </w:t>
      </w:r>
      <w:r>
        <w:t>a</w:t>
      </w:r>
      <w:r w:rsidRPr="00B702E1">
        <w:t>ctivities</w:t>
      </w:r>
    </w:p>
    <w:p w:rsidR="00B37B1D" w:rsidRPr="00C633ED" w:rsidRDefault="00B37B1D" w:rsidP="009A05FE">
      <w:pPr>
        <w:pStyle w:val="Healthbody"/>
      </w:pPr>
      <w:r w:rsidRPr="00C633ED">
        <w:t>Project activity was based on the purchase of resources to support student placements. The purchase o</w:t>
      </w:r>
      <w:r>
        <w:t>f student</w:t>
      </w:r>
      <w:r w:rsidR="00477AF9">
        <w:noBreakHyphen/>
      </w:r>
      <w:r>
        <w:t>specific IT equipment</w:t>
      </w:r>
      <w:r w:rsidRPr="00C633ED">
        <w:t xml:space="preserve"> has enabled a proposal for a stu</w:t>
      </w:r>
      <w:r>
        <w:t>dent</w:t>
      </w:r>
      <w:r w:rsidR="00477AF9">
        <w:noBreakHyphen/>
      </w:r>
      <w:r>
        <w:t>specific room to be tabled</w:t>
      </w:r>
      <w:r w:rsidRPr="00C633ED">
        <w:t xml:space="preserve"> so that students can h</w:t>
      </w:r>
      <w:r>
        <w:t>ave a specific area for working</w:t>
      </w:r>
      <w:r w:rsidRPr="00C633ED">
        <w:t xml:space="preserve"> without having to constantly </w:t>
      </w:r>
      <w:r>
        <w:t>‘</w:t>
      </w:r>
      <w:r w:rsidRPr="00C633ED">
        <w:t>desk</w:t>
      </w:r>
      <w:r w:rsidR="00477AF9">
        <w:noBreakHyphen/>
      </w:r>
      <w:r w:rsidRPr="00C633ED">
        <w:t>jump</w:t>
      </w:r>
      <w:r>
        <w:t>’</w:t>
      </w:r>
      <w:r w:rsidRPr="00C633ED">
        <w:t>. Since the pr</w:t>
      </w:r>
      <w:r>
        <w:t>oject commenced</w:t>
      </w:r>
      <w:r w:rsidR="003726D5">
        <w:t>,</w:t>
      </w:r>
      <w:r>
        <w:t xml:space="preserve"> </w:t>
      </w:r>
      <w:r w:rsidRPr="00C633ED">
        <w:t xml:space="preserve">adjoining rooms with a </w:t>
      </w:r>
      <w:r>
        <w:t>two</w:t>
      </w:r>
      <w:r w:rsidR="00477AF9">
        <w:noBreakHyphen/>
      </w:r>
      <w:r w:rsidRPr="00C633ED">
        <w:t>w</w:t>
      </w:r>
      <w:r>
        <w:t>ay mirror have become available</w:t>
      </w:r>
      <w:r w:rsidRPr="00C633ED">
        <w:t xml:space="preserve"> and these rooms will be</w:t>
      </w:r>
      <w:r>
        <w:t xml:space="preserve"> used for students undertaking placements at NCHS, allowing students to be monitored and assessed during their time with clients without having to be in the room with the students</w:t>
      </w:r>
      <w:r w:rsidRPr="00C633ED">
        <w:t>.</w:t>
      </w:r>
      <w:r>
        <w:t xml:space="preserve"> The purchase and installation of an audio</w:t>
      </w:r>
      <w:r w:rsidR="00477AF9">
        <w:noBreakHyphen/>
      </w:r>
      <w:r>
        <w:t xml:space="preserve">link for these two rooms (a change from the initial list of resources for the project) will also allow students to observe students from other disciplines in practice, thus increasing their exposure to multidisciplinary work. </w:t>
      </w:r>
    </w:p>
    <w:p w:rsidR="00B37B1D" w:rsidRPr="00C633ED" w:rsidRDefault="00B37B1D" w:rsidP="009A05FE">
      <w:pPr>
        <w:pStyle w:val="Healthbody"/>
      </w:pPr>
      <w:r w:rsidRPr="00C633ED">
        <w:t>Other equipment is also now availabl</w:t>
      </w:r>
      <w:r>
        <w:t>e for long</w:t>
      </w:r>
      <w:r w:rsidR="003726D5">
        <w:t>-</w:t>
      </w:r>
      <w:r>
        <w:t>term use by students,</w:t>
      </w:r>
      <w:r w:rsidRPr="00C633ED">
        <w:t xml:space="preserve"> i</w:t>
      </w:r>
      <w:r>
        <w:t>.</w:t>
      </w:r>
      <w:r w:rsidRPr="00C633ED">
        <w:t>e</w:t>
      </w:r>
      <w:r w:rsidR="003726D5">
        <w:t>.</w:t>
      </w:r>
      <w:r w:rsidRPr="00C633ED">
        <w:t xml:space="preserve"> is not owned by a specific clinician and at risk of being taken away from the </w:t>
      </w:r>
      <w:r w:rsidR="003726D5">
        <w:t>o</w:t>
      </w:r>
      <w:r w:rsidRPr="00C633ED">
        <w:t>rganisation when the clinician leaves. This also gives students more resources for self</w:t>
      </w:r>
      <w:r w:rsidR="00477AF9">
        <w:noBreakHyphen/>
      </w:r>
      <w:r w:rsidRPr="00C633ED">
        <w:t>directed learning and independent practice.</w:t>
      </w:r>
    </w:p>
    <w:p w:rsidR="00B37B1D" w:rsidRPr="00B702E1" w:rsidRDefault="00B37B1D" w:rsidP="009A05FE">
      <w:pPr>
        <w:pStyle w:val="Healthheading2"/>
      </w:pPr>
      <w:r w:rsidRPr="00B702E1">
        <w:t xml:space="preserve">Project </w:t>
      </w:r>
      <w:r>
        <w:t>m</w:t>
      </w:r>
      <w:r w:rsidRPr="00B702E1">
        <w:t xml:space="preserve">anagement </w:t>
      </w:r>
    </w:p>
    <w:p w:rsidR="00B37B1D" w:rsidRDefault="00B37B1D" w:rsidP="009A05FE">
      <w:pPr>
        <w:pStyle w:val="Healthbody"/>
      </w:pPr>
      <w:r>
        <w:t xml:space="preserve">The Program Managers for Allied Health and Counselling coordinated the purchase of equipment. Items over $500 have been added to the </w:t>
      </w:r>
      <w:r w:rsidR="00477AF9">
        <w:t>o</w:t>
      </w:r>
      <w:r>
        <w:t xml:space="preserve">rganisational asset register. </w:t>
      </w:r>
    </w:p>
    <w:p w:rsidR="00B37B1D" w:rsidRPr="005E208F" w:rsidRDefault="00B37B1D" w:rsidP="009A05FE">
      <w:pPr>
        <w:pStyle w:val="Healthbody"/>
        <w:rPr>
          <w:szCs w:val="22"/>
        </w:rPr>
      </w:pPr>
      <w:r w:rsidRPr="009D1EA6">
        <w:t xml:space="preserve">The </w:t>
      </w:r>
      <w:r w:rsidR="003726D5">
        <w:t>A</w:t>
      </w:r>
      <w:r w:rsidRPr="009D1EA6">
        <w:t xml:space="preserve">llied </w:t>
      </w:r>
      <w:r w:rsidR="003726D5">
        <w:t>H</w:t>
      </w:r>
      <w:r w:rsidRPr="009D1EA6">
        <w:t>ealth Program Manager ensured that reports were completed.</w:t>
      </w:r>
    </w:p>
    <w:p w:rsidR="00B37B1D" w:rsidRPr="00B702E1" w:rsidRDefault="00806921" w:rsidP="00305463">
      <w:pPr>
        <w:pStyle w:val="Healthheading2"/>
      </w:pPr>
      <w:r>
        <w:br w:type="page"/>
      </w:r>
      <w:r w:rsidR="00B37B1D" w:rsidRPr="00B702E1">
        <w:t xml:space="preserve">Project performance against stated </w:t>
      </w:r>
      <w:r w:rsidR="00B37B1D">
        <w:t>deliverables</w:t>
      </w:r>
    </w:p>
    <w:tbl>
      <w:tblPr>
        <w:tblW w:w="99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11"/>
        <w:gridCol w:w="2414"/>
        <w:gridCol w:w="1519"/>
        <w:gridCol w:w="2498"/>
      </w:tblGrid>
      <w:tr w:rsidR="00B37B1D" w:rsidRPr="00305463" w:rsidTr="00477AF9">
        <w:tc>
          <w:tcPr>
            <w:tcW w:w="3511" w:type="dxa"/>
            <w:shd w:val="clear" w:color="auto" w:fill="0073CF"/>
          </w:tcPr>
          <w:p w:rsidR="00B37B1D" w:rsidRPr="00305463" w:rsidRDefault="00B37B1D" w:rsidP="00305463">
            <w:pPr>
              <w:pStyle w:val="Healthtablecolumnhead"/>
            </w:pPr>
            <w:r w:rsidRPr="00305463">
              <w:t>Project activity</w:t>
            </w:r>
          </w:p>
        </w:tc>
        <w:tc>
          <w:tcPr>
            <w:tcW w:w="2414" w:type="dxa"/>
            <w:shd w:val="clear" w:color="auto" w:fill="0073CF"/>
          </w:tcPr>
          <w:p w:rsidR="00B37B1D" w:rsidRPr="00305463" w:rsidRDefault="00477AF9" w:rsidP="00305463">
            <w:pPr>
              <w:pStyle w:val="Healthtablecolumnhead"/>
            </w:pPr>
            <w:r>
              <w:t>Project deliverable/</w:t>
            </w:r>
            <w:r w:rsidR="00B37B1D" w:rsidRPr="00305463">
              <w:t>target</w:t>
            </w:r>
          </w:p>
        </w:tc>
        <w:tc>
          <w:tcPr>
            <w:tcW w:w="1519" w:type="dxa"/>
            <w:shd w:val="clear" w:color="auto" w:fill="0073CF"/>
          </w:tcPr>
          <w:p w:rsidR="00B37B1D" w:rsidRPr="00305463" w:rsidRDefault="00B37B1D" w:rsidP="00305463">
            <w:pPr>
              <w:pStyle w:val="Healthtablecolumnhead"/>
            </w:pPr>
            <w:r w:rsidRPr="00305463">
              <w:t>Due date</w:t>
            </w:r>
          </w:p>
        </w:tc>
        <w:tc>
          <w:tcPr>
            <w:tcW w:w="2498" w:type="dxa"/>
            <w:shd w:val="clear" w:color="auto" w:fill="0073CF"/>
          </w:tcPr>
          <w:p w:rsidR="00B37B1D" w:rsidRPr="00305463" w:rsidDel="00B34E1C" w:rsidRDefault="003726D5" w:rsidP="003726D5">
            <w:pPr>
              <w:pStyle w:val="Healthtablecolumnhead"/>
            </w:pPr>
            <w:r>
              <w:t>Status</w:t>
            </w:r>
          </w:p>
        </w:tc>
      </w:tr>
      <w:tr w:rsidR="00B37B1D" w:rsidRPr="00D66B63" w:rsidTr="00477AF9">
        <w:tc>
          <w:tcPr>
            <w:tcW w:w="3511" w:type="dxa"/>
          </w:tcPr>
          <w:p w:rsidR="00B37B1D" w:rsidRPr="00BB7A3A" w:rsidRDefault="00B37B1D" w:rsidP="003726D5">
            <w:pPr>
              <w:pStyle w:val="Healthtablebody"/>
            </w:pPr>
            <w:r w:rsidRPr="00BB7A3A">
              <w:t>Purchase of latest editions of relevant textbooks for the following disciplines:</w:t>
            </w:r>
            <w:r w:rsidR="003726D5">
              <w:t xml:space="preserve"> </w:t>
            </w:r>
            <w:r w:rsidR="00477AF9">
              <w:t>p</w:t>
            </w:r>
            <w:r>
              <w:t xml:space="preserve">hysiotherapy, </w:t>
            </w:r>
            <w:r w:rsidRPr="00BB7A3A">
              <w:t>occupational therapy, social work</w:t>
            </w:r>
            <w:r>
              <w:t xml:space="preserve"> and</w:t>
            </w:r>
            <w:r w:rsidRPr="00BB7A3A">
              <w:t xml:space="preserve"> dietetics</w:t>
            </w:r>
          </w:p>
        </w:tc>
        <w:tc>
          <w:tcPr>
            <w:tcW w:w="2414" w:type="dxa"/>
          </w:tcPr>
          <w:p w:rsidR="00B37B1D" w:rsidRPr="00BB7A3A" w:rsidRDefault="00B37B1D" w:rsidP="00BD4852">
            <w:pPr>
              <w:pStyle w:val="Healthtablebody"/>
            </w:pPr>
            <w:r w:rsidRPr="00BB7A3A">
              <w:t>Resources for students and supervisors</w:t>
            </w:r>
          </w:p>
        </w:tc>
        <w:tc>
          <w:tcPr>
            <w:tcW w:w="1519" w:type="dxa"/>
          </w:tcPr>
          <w:p w:rsidR="00B37B1D" w:rsidRPr="00305463" w:rsidRDefault="00B37B1D" w:rsidP="00305463">
            <w:pPr>
              <w:pStyle w:val="Healthtablebody"/>
            </w:pPr>
            <w:r w:rsidRPr="00305463">
              <w:t>30 March 2012</w:t>
            </w:r>
          </w:p>
        </w:tc>
        <w:tc>
          <w:tcPr>
            <w:tcW w:w="2498" w:type="dxa"/>
          </w:tcPr>
          <w:p w:rsidR="00B37B1D" w:rsidRPr="00305463" w:rsidRDefault="00B37B1D" w:rsidP="00305463">
            <w:pPr>
              <w:pStyle w:val="Healthtablebody"/>
            </w:pPr>
            <w:r w:rsidRPr="00305463">
              <w:t>Complete</w:t>
            </w:r>
          </w:p>
        </w:tc>
      </w:tr>
      <w:tr w:rsidR="00B37B1D" w:rsidRPr="00D66B63" w:rsidTr="00477AF9">
        <w:tc>
          <w:tcPr>
            <w:tcW w:w="3511" w:type="dxa"/>
          </w:tcPr>
          <w:p w:rsidR="00B37B1D" w:rsidRPr="00BB7A3A" w:rsidRDefault="00B37B1D" w:rsidP="00BD4852">
            <w:pPr>
              <w:pStyle w:val="Healthtablebody"/>
              <w:rPr>
                <w:i/>
              </w:rPr>
            </w:pPr>
            <w:r w:rsidRPr="00BB7A3A">
              <w:t>Purchase of additional laptop and printer to be dedicated to student use</w:t>
            </w:r>
          </w:p>
        </w:tc>
        <w:tc>
          <w:tcPr>
            <w:tcW w:w="2414" w:type="dxa"/>
          </w:tcPr>
          <w:p w:rsidR="00B37B1D" w:rsidRPr="00BB7A3A" w:rsidRDefault="00B37B1D" w:rsidP="00BD4852">
            <w:pPr>
              <w:pStyle w:val="Healthtablebullet"/>
            </w:pPr>
            <w:r w:rsidRPr="00BB7A3A">
              <w:t>Access to IT – online information and resources, university services</w:t>
            </w:r>
            <w:r>
              <w:t xml:space="preserve"> and</w:t>
            </w:r>
            <w:r w:rsidRPr="00BB7A3A">
              <w:t xml:space="preserve"> online training modules</w:t>
            </w:r>
          </w:p>
          <w:p w:rsidR="00B37B1D" w:rsidRPr="00BB7A3A" w:rsidRDefault="00B37B1D" w:rsidP="00BD4852">
            <w:pPr>
              <w:pStyle w:val="Healthtablebullet"/>
            </w:pPr>
            <w:r w:rsidRPr="00BB7A3A">
              <w:t>Development of client resources such as brochures</w:t>
            </w:r>
            <w:r>
              <w:t xml:space="preserve"> and</w:t>
            </w:r>
            <w:r w:rsidRPr="00BB7A3A">
              <w:t xml:space="preserve"> handouts</w:t>
            </w:r>
          </w:p>
        </w:tc>
        <w:tc>
          <w:tcPr>
            <w:tcW w:w="1519" w:type="dxa"/>
          </w:tcPr>
          <w:p w:rsidR="00B37B1D" w:rsidRPr="00305463" w:rsidRDefault="00B37B1D" w:rsidP="00305463">
            <w:pPr>
              <w:pStyle w:val="Healthtablebody"/>
            </w:pPr>
            <w:r w:rsidRPr="00305463">
              <w:t>30 June 2012</w:t>
            </w:r>
          </w:p>
        </w:tc>
        <w:tc>
          <w:tcPr>
            <w:tcW w:w="2498" w:type="dxa"/>
          </w:tcPr>
          <w:p w:rsidR="00B37B1D" w:rsidRPr="00305463" w:rsidRDefault="00B37B1D" w:rsidP="00305463">
            <w:pPr>
              <w:pStyle w:val="Healthtablebody"/>
            </w:pPr>
            <w:r w:rsidRPr="00305463">
              <w:t>Complete</w:t>
            </w:r>
          </w:p>
          <w:p w:rsidR="00B37B1D" w:rsidRPr="00305463" w:rsidRDefault="00B37B1D" w:rsidP="00305463">
            <w:pPr>
              <w:pStyle w:val="Healthtablebody"/>
            </w:pPr>
          </w:p>
          <w:p w:rsidR="003726D5" w:rsidRPr="00305463" w:rsidRDefault="003726D5" w:rsidP="00305463">
            <w:pPr>
              <w:pStyle w:val="Healthtablebody"/>
            </w:pPr>
          </w:p>
          <w:p w:rsidR="00B37B1D" w:rsidRPr="00305463" w:rsidRDefault="00B37B1D" w:rsidP="00305463">
            <w:pPr>
              <w:pStyle w:val="Healthtablebody"/>
            </w:pPr>
          </w:p>
          <w:p w:rsidR="00B37B1D" w:rsidRPr="00305463" w:rsidRDefault="00B37B1D" w:rsidP="00305463">
            <w:pPr>
              <w:pStyle w:val="Healthtablebody"/>
            </w:pPr>
            <w:r w:rsidRPr="00305463">
              <w:t>Resources not developed</w:t>
            </w:r>
          </w:p>
        </w:tc>
      </w:tr>
      <w:tr w:rsidR="00B37B1D" w:rsidRPr="00D66B63" w:rsidTr="00477AF9">
        <w:tc>
          <w:tcPr>
            <w:tcW w:w="3511" w:type="dxa"/>
          </w:tcPr>
          <w:p w:rsidR="00B37B1D" w:rsidRPr="00BB7A3A" w:rsidRDefault="00B37B1D" w:rsidP="00BD4852">
            <w:pPr>
              <w:pStyle w:val="Healthtablebody"/>
            </w:pPr>
            <w:r w:rsidRPr="00BB7A3A">
              <w:t>Purchase of equipment (e</w:t>
            </w:r>
            <w:r>
              <w:t>.</w:t>
            </w:r>
            <w:r w:rsidRPr="00BB7A3A">
              <w:t>g</w:t>
            </w:r>
            <w:r>
              <w:t>.</w:t>
            </w:r>
            <w:r w:rsidRPr="00BB7A3A">
              <w:t xml:space="preserve"> paediatric tests, anatomical models, charts and learning aids, mobile weight scales for use on home visits) to ena</w:t>
            </w:r>
            <w:r>
              <w:t>ble students to trial their use</w:t>
            </w:r>
            <w:r w:rsidRPr="00BB7A3A">
              <w:t xml:space="preserve"> without exhausting existing supplies</w:t>
            </w:r>
          </w:p>
        </w:tc>
        <w:tc>
          <w:tcPr>
            <w:tcW w:w="2414" w:type="dxa"/>
          </w:tcPr>
          <w:p w:rsidR="00B37B1D" w:rsidRPr="00BB7A3A" w:rsidRDefault="00B37B1D" w:rsidP="00BD4852">
            <w:pPr>
              <w:pStyle w:val="Healthtablebody"/>
            </w:pPr>
            <w:r w:rsidRPr="00BB7A3A">
              <w:t>Purchase of supplies/equipment – clinical practice for students</w:t>
            </w:r>
          </w:p>
        </w:tc>
        <w:tc>
          <w:tcPr>
            <w:tcW w:w="1519" w:type="dxa"/>
          </w:tcPr>
          <w:p w:rsidR="00B37B1D" w:rsidRPr="00305463" w:rsidRDefault="00B37B1D" w:rsidP="00305463">
            <w:pPr>
              <w:pStyle w:val="Healthtablebody"/>
            </w:pPr>
            <w:r w:rsidRPr="00305463">
              <w:t>30 June 2012</w:t>
            </w:r>
          </w:p>
        </w:tc>
        <w:tc>
          <w:tcPr>
            <w:tcW w:w="2498" w:type="dxa"/>
          </w:tcPr>
          <w:p w:rsidR="00B37B1D" w:rsidRPr="00305463" w:rsidRDefault="00B37B1D" w:rsidP="00305463">
            <w:pPr>
              <w:pStyle w:val="Healthtablebody"/>
            </w:pPr>
            <w:r w:rsidRPr="00305463">
              <w:t>Complete</w:t>
            </w:r>
          </w:p>
        </w:tc>
      </w:tr>
      <w:tr w:rsidR="00B37B1D" w:rsidRPr="00D66B63" w:rsidTr="00477AF9">
        <w:tc>
          <w:tcPr>
            <w:tcW w:w="3511" w:type="dxa"/>
          </w:tcPr>
          <w:p w:rsidR="00B37B1D" w:rsidRPr="00BB7A3A" w:rsidRDefault="00B37B1D" w:rsidP="00BD4852">
            <w:pPr>
              <w:pStyle w:val="Healthtablebody"/>
            </w:pPr>
            <w:r w:rsidRPr="00BB7A3A">
              <w:t>Development of dedicated student resource library</w:t>
            </w:r>
          </w:p>
        </w:tc>
        <w:tc>
          <w:tcPr>
            <w:tcW w:w="2414" w:type="dxa"/>
          </w:tcPr>
          <w:p w:rsidR="00B37B1D" w:rsidRPr="00BB7A3A" w:rsidRDefault="00B37B1D" w:rsidP="007B673F">
            <w:pPr>
              <w:pStyle w:val="Healthtablebullet"/>
            </w:pPr>
            <w:r w:rsidRPr="00BB7A3A">
              <w:t>List of student resources available across NCHS</w:t>
            </w:r>
          </w:p>
          <w:p w:rsidR="00B37B1D" w:rsidRPr="00BB7A3A" w:rsidRDefault="00B37B1D" w:rsidP="007B673F">
            <w:pPr>
              <w:pStyle w:val="Healthtablebullet"/>
            </w:pPr>
            <w:r w:rsidRPr="00BB7A3A">
              <w:t xml:space="preserve">List of relevant websites </w:t>
            </w:r>
            <w:r w:rsidRPr="00BB7A3A">
              <w:lastRenderedPageBreak/>
              <w:t>for student learning/</w:t>
            </w:r>
            <w:r>
              <w:t xml:space="preserve"> </w:t>
            </w:r>
            <w:r w:rsidRPr="00BB7A3A">
              <w:t xml:space="preserve">information </w:t>
            </w:r>
          </w:p>
          <w:p w:rsidR="00B37B1D" w:rsidRPr="00BB7A3A" w:rsidRDefault="00B37B1D" w:rsidP="007B673F">
            <w:pPr>
              <w:pStyle w:val="Healthtablebullet"/>
            </w:pPr>
            <w:r w:rsidRPr="00BB7A3A">
              <w:t>Student project ideas folder and resources developed</w:t>
            </w:r>
          </w:p>
        </w:tc>
        <w:tc>
          <w:tcPr>
            <w:tcW w:w="1519" w:type="dxa"/>
          </w:tcPr>
          <w:p w:rsidR="00B37B1D" w:rsidRPr="00305463" w:rsidRDefault="00B37B1D" w:rsidP="00305463">
            <w:pPr>
              <w:pStyle w:val="Healthtablebody"/>
              <w:rPr>
                <w:highlight w:val="yellow"/>
              </w:rPr>
            </w:pPr>
            <w:r w:rsidRPr="00305463">
              <w:lastRenderedPageBreak/>
              <w:t>30 June 2012</w:t>
            </w:r>
          </w:p>
        </w:tc>
        <w:tc>
          <w:tcPr>
            <w:tcW w:w="2498" w:type="dxa"/>
          </w:tcPr>
          <w:p w:rsidR="00B37B1D" w:rsidRPr="00305463" w:rsidRDefault="00B37B1D" w:rsidP="00305463">
            <w:pPr>
              <w:pStyle w:val="Healthtablebody"/>
              <w:rPr>
                <w:szCs w:val="18"/>
              </w:rPr>
            </w:pPr>
            <w:r w:rsidRPr="00305463">
              <w:rPr>
                <w:szCs w:val="18"/>
              </w:rPr>
              <w:t xml:space="preserve">Ongoing – this has been tied in with another student project which commenced at </w:t>
            </w:r>
            <w:r w:rsidRPr="00305463">
              <w:rPr>
                <w:szCs w:val="18"/>
              </w:rPr>
              <w:lastRenderedPageBreak/>
              <w:t>NCHS in September – ‘Interprofessional Learning Packag</w:t>
            </w:r>
            <w:r w:rsidR="003726D5">
              <w:rPr>
                <w:szCs w:val="18"/>
              </w:rPr>
              <w:t>e (IPLP)’ – the development of interprofessional l</w:t>
            </w:r>
            <w:r w:rsidRPr="00305463">
              <w:rPr>
                <w:szCs w:val="18"/>
              </w:rPr>
              <w:t xml:space="preserve">earning resources across the </w:t>
            </w:r>
            <w:r w:rsidR="00477AF9">
              <w:rPr>
                <w:szCs w:val="18"/>
              </w:rPr>
              <w:t>o</w:t>
            </w:r>
            <w:r w:rsidRPr="00305463">
              <w:rPr>
                <w:szCs w:val="18"/>
              </w:rPr>
              <w:t>rganisation.</w:t>
            </w:r>
          </w:p>
          <w:p w:rsidR="00B37B1D" w:rsidRPr="00305463" w:rsidRDefault="00B37B1D" w:rsidP="003726D5">
            <w:pPr>
              <w:pStyle w:val="Healthtablebody"/>
              <w:rPr>
                <w:highlight w:val="yellow"/>
              </w:rPr>
            </w:pPr>
            <w:r w:rsidRPr="00305463">
              <w:rPr>
                <w:szCs w:val="18"/>
              </w:rPr>
              <w:t xml:space="preserve">This project will also finish in early December 2012, so will tie in well with the ‘Resourcing </w:t>
            </w:r>
            <w:r w:rsidR="003726D5">
              <w:rPr>
                <w:szCs w:val="18"/>
              </w:rPr>
              <w:t>s</w:t>
            </w:r>
            <w:r w:rsidRPr="00305463">
              <w:rPr>
                <w:szCs w:val="18"/>
              </w:rPr>
              <w:t xml:space="preserve">tudents and </w:t>
            </w:r>
            <w:r w:rsidR="003726D5">
              <w:rPr>
                <w:szCs w:val="18"/>
              </w:rPr>
              <w:t>s</w:t>
            </w:r>
            <w:r w:rsidRPr="00305463">
              <w:rPr>
                <w:szCs w:val="18"/>
              </w:rPr>
              <w:t>upervisors’ project.</w:t>
            </w:r>
            <w:r w:rsidRPr="00305463">
              <w:t xml:space="preserve"> </w:t>
            </w:r>
          </w:p>
        </w:tc>
      </w:tr>
    </w:tbl>
    <w:p w:rsidR="00B37B1D" w:rsidRDefault="00B37B1D" w:rsidP="00477AF9">
      <w:pPr>
        <w:pStyle w:val="Healthheading4"/>
      </w:pPr>
      <w:r w:rsidRPr="00A5630F">
        <w:lastRenderedPageBreak/>
        <w:t>Enhance learning outcomes/quality of student placement for students</w:t>
      </w:r>
    </w:p>
    <w:p w:rsidR="00B37B1D" w:rsidRPr="005A087D" w:rsidRDefault="00B37B1D" w:rsidP="007B673F">
      <w:pPr>
        <w:pStyle w:val="Healthbody"/>
      </w:pPr>
      <w:r w:rsidRPr="005A087D">
        <w:t xml:space="preserve">NCHS has not had relevant student placements since the purchase of additional equipment, so this objective has not yet been measured. </w:t>
      </w:r>
      <w:r>
        <w:t xml:space="preserve">At this stage, four student placements have been offered for the </w:t>
      </w:r>
      <w:r w:rsidRPr="005A087D">
        <w:t>first half of 2013.</w:t>
      </w:r>
    </w:p>
    <w:p w:rsidR="00B37B1D" w:rsidRDefault="00B37B1D" w:rsidP="007B673F">
      <w:pPr>
        <w:pStyle w:val="Healthheading4"/>
      </w:pPr>
      <w:r w:rsidRPr="00A5630F">
        <w:t>Enhance interdisciplinary learning</w:t>
      </w:r>
    </w:p>
    <w:p w:rsidR="00B37B1D" w:rsidRPr="005A087D" w:rsidRDefault="00B37B1D" w:rsidP="007B673F">
      <w:pPr>
        <w:pStyle w:val="Healthbody"/>
      </w:pPr>
      <w:r w:rsidRPr="005A087D">
        <w:t>As stated above, there has not been the opportunity to trial interdisciplinary learning. It is anticipated that the resources</w:t>
      </w:r>
      <w:r>
        <w:t xml:space="preserve"> purchased through this project</w:t>
      </w:r>
      <w:r w:rsidRPr="005A087D">
        <w:t xml:space="preserve"> plus the outcomes from the IPLP project will definitely enhance interdisciplinary learning.</w:t>
      </w:r>
    </w:p>
    <w:p w:rsidR="00B37B1D" w:rsidRDefault="00B37B1D" w:rsidP="007B673F">
      <w:pPr>
        <w:pStyle w:val="Healthheading4"/>
      </w:pPr>
      <w:r w:rsidRPr="00A5630F">
        <w:t xml:space="preserve">Increase capacity to offer more than </w:t>
      </w:r>
      <w:r>
        <w:t>one</w:t>
      </w:r>
      <w:r w:rsidRPr="00A5630F">
        <w:t xml:space="preserve"> student placement at a time </w:t>
      </w:r>
    </w:p>
    <w:p w:rsidR="00B37B1D" w:rsidRPr="005A087D" w:rsidRDefault="00B37B1D" w:rsidP="007B673F">
      <w:pPr>
        <w:pStyle w:val="Healthbody"/>
      </w:pPr>
      <w:r w:rsidRPr="005A087D">
        <w:t>The p</w:t>
      </w:r>
      <w:r>
        <w:t>urchase of a laptop and printer</w:t>
      </w:r>
      <w:r w:rsidRPr="005A087D">
        <w:t xml:space="preserve"> and the </w:t>
      </w:r>
      <w:r>
        <w:t>fit</w:t>
      </w:r>
      <w:r w:rsidR="003726D5">
        <w:t>-</w:t>
      </w:r>
      <w:r>
        <w:t xml:space="preserve">out of the two adjoining rooms as described </w:t>
      </w:r>
      <w:proofErr w:type="gramStart"/>
      <w:r>
        <w:t>above,</w:t>
      </w:r>
      <w:proofErr w:type="gramEnd"/>
      <w:r>
        <w:t xml:space="preserve"> h</w:t>
      </w:r>
      <w:r w:rsidRPr="005A087D">
        <w:t xml:space="preserve">as increased the capacity of the </w:t>
      </w:r>
      <w:r w:rsidR="003726D5">
        <w:t>o</w:t>
      </w:r>
      <w:r w:rsidRPr="005A087D">
        <w:t xml:space="preserve">rganisation to offer more than </w:t>
      </w:r>
      <w:r>
        <w:t>one</w:t>
      </w:r>
      <w:r w:rsidRPr="005A087D">
        <w:t xml:space="preserve"> student placement at any time.</w:t>
      </w:r>
      <w:r>
        <w:t xml:space="preserve"> The four student placements offered in the first half of 2013 will be overlapping.</w:t>
      </w:r>
    </w:p>
    <w:p w:rsidR="00B37B1D" w:rsidRDefault="00B37B1D" w:rsidP="007B673F">
      <w:pPr>
        <w:pStyle w:val="Healthheading4"/>
      </w:pPr>
      <w:r w:rsidRPr="00A5630F">
        <w:t>Development of a mode</w:t>
      </w:r>
      <w:r>
        <w:t>rn student resource library</w:t>
      </w:r>
    </w:p>
    <w:p w:rsidR="00B37B1D" w:rsidRPr="009A05FE" w:rsidRDefault="00B37B1D" w:rsidP="007B673F">
      <w:pPr>
        <w:pStyle w:val="Healthbody"/>
        <w:rPr>
          <w:rFonts w:ascii="Verdana" w:hAnsi="Verdana"/>
          <w:i/>
          <w:szCs w:val="20"/>
        </w:rPr>
      </w:pPr>
      <w:r w:rsidRPr="00D04452">
        <w:t>This has been achieved with the purc</w:t>
      </w:r>
      <w:r>
        <w:t>hase of texts and learning aids</w:t>
      </w:r>
      <w:r w:rsidRPr="00D04452">
        <w:t xml:space="preserve"> such as anatomical models.</w:t>
      </w:r>
    </w:p>
    <w:p w:rsidR="00B37B1D" w:rsidRPr="009A05FE" w:rsidRDefault="00B37B1D" w:rsidP="009A05FE">
      <w:pPr>
        <w:pStyle w:val="Healthheading2"/>
        <w:rPr>
          <w:sz w:val="24"/>
        </w:rPr>
      </w:pPr>
      <w:r w:rsidRPr="00B702E1">
        <w:t xml:space="preserve">Project </w:t>
      </w:r>
      <w:r>
        <w:t>o</w:t>
      </w:r>
      <w:r w:rsidRPr="00B702E1">
        <w:t xml:space="preserve">utcomes </w:t>
      </w:r>
    </w:p>
    <w:p w:rsidR="00B37B1D" w:rsidRPr="005E208F" w:rsidRDefault="00B37B1D" w:rsidP="007B673F">
      <w:pPr>
        <w:pStyle w:val="Healthbody"/>
        <w:rPr>
          <w:szCs w:val="22"/>
        </w:rPr>
      </w:pPr>
      <w:r>
        <w:rPr>
          <w:szCs w:val="22"/>
        </w:rPr>
        <w:t>All resources identified in the submission were purchased.</w:t>
      </w:r>
    </w:p>
    <w:p w:rsidR="00B37B1D" w:rsidRDefault="00B37B1D" w:rsidP="009A05FE">
      <w:pPr>
        <w:pStyle w:val="Healthheading2"/>
      </w:pPr>
      <w:r>
        <w:t>Evaluation</w:t>
      </w:r>
    </w:p>
    <w:p w:rsidR="00B37B1D" w:rsidRPr="004176D0" w:rsidRDefault="00B37B1D" w:rsidP="004176D0">
      <w:pPr>
        <w:pStyle w:val="Healthbody"/>
        <w:rPr>
          <w:szCs w:val="22"/>
        </w:rPr>
      </w:pPr>
      <w:r w:rsidRPr="004176D0">
        <w:rPr>
          <w:szCs w:val="22"/>
        </w:rPr>
        <w:t xml:space="preserve">For many years there has been </w:t>
      </w:r>
      <w:r>
        <w:rPr>
          <w:szCs w:val="22"/>
        </w:rPr>
        <w:t>no money available to purchase ‘non</w:t>
      </w:r>
      <w:r w:rsidR="00477AF9">
        <w:rPr>
          <w:szCs w:val="22"/>
        </w:rPr>
        <w:noBreakHyphen/>
      </w:r>
      <w:r>
        <w:rPr>
          <w:szCs w:val="22"/>
        </w:rPr>
        <w:t>core’</w:t>
      </w:r>
      <w:r w:rsidRPr="004176D0">
        <w:rPr>
          <w:szCs w:val="22"/>
        </w:rPr>
        <w:t xml:space="preserve"> supplies. This meant that clinicians often</w:t>
      </w:r>
      <w:r>
        <w:rPr>
          <w:szCs w:val="22"/>
        </w:rPr>
        <w:t xml:space="preserve"> brought in their own resources or used out of date texts</w:t>
      </w:r>
      <w:r w:rsidRPr="004176D0">
        <w:rPr>
          <w:szCs w:val="22"/>
        </w:rPr>
        <w:t xml:space="preserve"> and photocopied supplies. To be able</w:t>
      </w:r>
      <w:r>
        <w:rPr>
          <w:szCs w:val="22"/>
        </w:rPr>
        <w:t xml:space="preserve"> to purchase some new equipment and to have training resources such as the anatomical models</w:t>
      </w:r>
      <w:r w:rsidRPr="004176D0">
        <w:rPr>
          <w:szCs w:val="22"/>
        </w:rPr>
        <w:t xml:space="preserve"> was extreme</w:t>
      </w:r>
      <w:r>
        <w:rPr>
          <w:szCs w:val="22"/>
        </w:rPr>
        <w:t xml:space="preserve">ly well received by clinicians </w:t>
      </w:r>
      <w:r w:rsidRPr="004176D0">
        <w:rPr>
          <w:szCs w:val="22"/>
        </w:rPr>
        <w:t>and has positive outcome</w:t>
      </w:r>
      <w:r>
        <w:rPr>
          <w:szCs w:val="22"/>
        </w:rPr>
        <w:t>s for both students and clients</w:t>
      </w:r>
      <w:r w:rsidRPr="004176D0">
        <w:rPr>
          <w:szCs w:val="22"/>
        </w:rPr>
        <w:t xml:space="preserve"> as items can be used to both improve client knowledge and assist in their direct treatment.</w:t>
      </w:r>
    </w:p>
    <w:p w:rsidR="00B37B1D" w:rsidRPr="004176D0" w:rsidRDefault="00B37B1D" w:rsidP="004176D0">
      <w:pPr>
        <w:pStyle w:val="Healthbody"/>
        <w:rPr>
          <w:szCs w:val="22"/>
        </w:rPr>
      </w:pPr>
      <w:r w:rsidRPr="004176D0">
        <w:rPr>
          <w:szCs w:val="22"/>
        </w:rPr>
        <w:t xml:space="preserve">Clinicians </w:t>
      </w:r>
      <w:r>
        <w:rPr>
          <w:szCs w:val="22"/>
        </w:rPr>
        <w:t>appreciated using new equipment</w:t>
      </w:r>
      <w:r w:rsidRPr="004176D0">
        <w:rPr>
          <w:szCs w:val="22"/>
        </w:rPr>
        <w:t xml:space="preserve"> and being able to have greater variety in their use of resources.</w:t>
      </w:r>
    </w:p>
    <w:p w:rsidR="00B37B1D" w:rsidRPr="004176D0" w:rsidRDefault="00B37B1D" w:rsidP="004176D0">
      <w:pPr>
        <w:pStyle w:val="Healthbody"/>
      </w:pPr>
      <w:r w:rsidRPr="004176D0">
        <w:rPr>
          <w:szCs w:val="22"/>
        </w:rPr>
        <w:t>The project</w:t>
      </w:r>
      <w:r>
        <w:rPr>
          <w:szCs w:val="22"/>
        </w:rPr>
        <w:t xml:space="preserve"> ran to budget</w:t>
      </w:r>
      <w:r w:rsidRPr="004176D0">
        <w:rPr>
          <w:szCs w:val="22"/>
        </w:rPr>
        <w:t xml:space="preserve"> and there were no major issues encountered.</w:t>
      </w:r>
    </w:p>
    <w:p w:rsidR="00B37B1D" w:rsidRPr="009A05FE" w:rsidRDefault="00B37B1D" w:rsidP="009A05FE">
      <w:pPr>
        <w:pStyle w:val="Healthheading2"/>
      </w:pPr>
      <w:r w:rsidRPr="00B702E1">
        <w:t xml:space="preserve">Conclusion </w:t>
      </w:r>
    </w:p>
    <w:p w:rsidR="00B37B1D" w:rsidRDefault="00B37B1D" w:rsidP="004176D0">
      <w:pPr>
        <w:pStyle w:val="Healthbody"/>
        <w:rPr>
          <w:szCs w:val="22"/>
        </w:rPr>
      </w:pPr>
      <w:r>
        <w:rPr>
          <w:szCs w:val="22"/>
        </w:rPr>
        <w:t xml:space="preserve">Since the purchase of the new resources, Nillumbik CHS has undergone some programmatic changes with the loss of several programs including two </w:t>
      </w:r>
      <w:r w:rsidR="00477AF9">
        <w:rPr>
          <w:szCs w:val="22"/>
        </w:rPr>
        <w:t>a</w:t>
      </w:r>
      <w:r>
        <w:rPr>
          <w:szCs w:val="22"/>
        </w:rPr>
        <w:t xml:space="preserve">llied </w:t>
      </w:r>
      <w:r w:rsidR="00477AF9">
        <w:rPr>
          <w:szCs w:val="22"/>
        </w:rPr>
        <w:t>h</w:t>
      </w:r>
      <w:r>
        <w:rPr>
          <w:szCs w:val="22"/>
        </w:rPr>
        <w:t>ealth services – paediatric dietetics and adult speech pathology. Student placements have not been offered during this period of change and it is anticipated that no extra placements will be available until 2013.</w:t>
      </w:r>
    </w:p>
    <w:p w:rsidR="00B37B1D" w:rsidRPr="009A05FE" w:rsidRDefault="00B37B1D" w:rsidP="004176D0">
      <w:pPr>
        <w:pStyle w:val="Healthbody"/>
      </w:pPr>
      <w:r>
        <w:rPr>
          <w:szCs w:val="22"/>
        </w:rPr>
        <w:t>Ho</w:t>
      </w:r>
      <w:bookmarkStart w:id="0" w:name="_GoBack"/>
      <w:bookmarkEnd w:id="0"/>
      <w:r>
        <w:rPr>
          <w:szCs w:val="22"/>
        </w:rPr>
        <w:t>wever the purchase of additional resources plus student sp</w:t>
      </w:r>
      <w:r w:rsidR="003726D5">
        <w:rPr>
          <w:szCs w:val="22"/>
        </w:rPr>
        <w:t>ecific IT equipment and the fit-</w:t>
      </w:r>
      <w:r>
        <w:rPr>
          <w:szCs w:val="22"/>
        </w:rPr>
        <w:t>out of two adjoining rooms to allow observation of clinical practice will facilitate the opportunity to offer student placements and increase the capacity to offer several placements to students of different disciplines at the same time with adequate resources to improve interdisciplinary outcomes.</w:t>
      </w:r>
    </w:p>
    <w:sectPr w:rsidR="00B37B1D" w:rsidRPr="009A05FE" w:rsidSect="000C7BCB">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1D" w:rsidRDefault="00B37B1D">
      <w:r>
        <w:separator/>
      </w:r>
    </w:p>
  </w:endnote>
  <w:endnote w:type="continuationSeparator" w:id="0">
    <w:p w:rsidR="00B37B1D" w:rsidRDefault="00B3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B1D" w:rsidRPr="000D3B7B" w:rsidRDefault="00DC2CDF" w:rsidP="00854210">
    <w:pPr>
      <w:pStyle w:val="Healthfooter"/>
      <w:rPr>
        <w:color w:val="0073CF"/>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54.1pt;width:599pt;height:28pt;z-index:-251658752;mso-position-horizontal-relative:page;mso-position-vertical-relative:page">
          <v:imagedata r:id="rId1" o:title=""/>
          <w10:wrap anchorx="page" anchory="page"/>
        </v:shape>
      </w:pict>
    </w:r>
    <w:r w:rsidR="00B37B1D" w:rsidRPr="000D3B7B">
      <w:rPr>
        <w:sz w:val="24"/>
      </w:rPr>
      <w:tab/>
    </w:r>
    <w:r w:rsidR="00B37B1D"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B1D" w:rsidRPr="00B43637" w:rsidRDefault="00B37B1D" w:rsidP="00854210">
    <w:pPr>
      <w:pStyle w:val="Healthfooter"/>
    </w:pPr>
    <w:r w:rsidRPr="00B43637">
      <w:t xml:space="preserve">Page </w:t>
    </w:r>
    <w:r w:rsidRPr="00B43637">
      <w:rPr>
        <w:rStyle w:val="PageNumber"/>
      </w:rPr>
      <w:fldChar w:fldCharType="begin"/>
    </w:r>
    <w:r w:rsidRPr="00B43637">
      <w:rPr>
        <w:rStyle w:val="PageNumber"/>
      </w:rPr>
      <w:instrText xml:space="preserve"> PAGE </w:instrText>
    </w:r>
    <w:r w:rsidRPr="00B43637">
      <w:rPr>
        <w:rStyle w:val="PageNumber"/>
      </w:rPr>
      <w:fldChar w:fldCharType="separate"/>
    </w:r>
    <w:r w:rsidR="00DC2CDF">
      <w:rPr>
        <w:rStyle w:val="PageNumber"/>
        <w:noProof/>
      </w:rPr>
      <w:t>4</w:t>
    </w:r>
    <w:r w:rsidRPr="00B43637">
      <w:rPr>
        <w:rStyle w:val="PageNumber"/>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1D" w:rsidRDefault="00B37B1D">
      <w:r>
        <w:separator/>
      </w:r>
    </w:p>
  </w:footnote>
  <w:footnote w:type="continuationSeparator" w:id="0">
    <w:p w:rsidR="00B37B1D" w:rsidRDefault="00B3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B1D" w:rsidRDefault="00B37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8EA"/>
    <w:multiLevelType w:val="hybridMultilevel"/>
    <w:tmpl w:val="D06C553C"/>
    <w:lvl w:ilvl="0" w:tplc="0C09000F">
      <w:start w:val="1"/>
      <w:numFmt w:val="decimal"/>
      <w:lvlText w:val="%1."/>
      <w:lvlJc w:val="left"/>
      <w:pPr>
        <w:tabs>
          <w:tab w:val="num" w:pos="720"/>
        </w:tabs>
        <w:ind w:left="720" w:hanging="360"/>
      </w:pPr>
      <w:rPr>
        <w:rFonts w:cs="Times New Roman"/>
      </w:r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
    <w:nsid w:val="173A5245"/>
    <w:multiLevelType w:val="hybridMultilevel"/>
    <w:tmpl w:val="B8088728"/>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67A7EF3"/>
    <w:multiLevelType w:val="hybridMultilevel"/>
    <w:tmpl w:val="D06C553C"/>
    <w:lvl w:ilvl="0" w:tplc="0C09000F">
      <w:start w:val="1"/>
      <w:numFmt w:val="decimal"/>
      <w:lvlText w:val="%1."/>
      <w:lvlJc w:val="left"/>
      <w:pPr>
        <w:tabs>
          <w:tab w:val="num" w:pos="720"/>
        </w:tabs>
        <w:ind w:left="720" w:hanging="360"/>
      </w:pPr>
      <w:rPr>
        <w:rFonts w:cs="Times New Roman"/>
      </w:r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D020EE7"/>
    <w:multiLevelType w:val="hybridMultilevel"/>
    <w:tmpl w:val="40F8CF2C"/>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3">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6">
    <w:nsid w:val="6292472C"/>
    <w:multiLevelType w:val="hybridMultilevel"/>
    <w:tmpl w:val="CCF423E2"/>
    <w:lvl w:ilvl="0" w:tplc="0C090017">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68DB57AB"/>
    <w:multiLevelType w:val="hybridMultilevel"/>
    <w:tmpl w:val="2B804C0E"/>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8"/>
  </w:num>
  <w:num w:numId="5">
    <w:abstractNumId w:val="5"/>
  </w:num>
  <w:num w:numId="6">
    <w:abstractNumId w:val="14"/>
  </w:num>
  <w:num w:numId="7">
    <w:abstractNumId w:val="11"/>
  </w:num>
  <w:num w:numId="8">
    <w:abstractNumId w:val="13"/>
  </w:num>
  <w:num w:numId="9">
    <w:abstractNumId w:val="6"/>
  </w:num>
  <w:num w:numId="10">
    <w:abstractNumId w:val="16"/>
  </w:num>
  <w:num w:numId="11">
    <w:abstractNumId w:val="10"/>
  </w:num>
  <w:num w:numId="12">
    <w:abstractNumId w:val="12"/>
  </w:num>
  <w:num w:numId="13">
    <w:abstractNumId w:val="15"/>
  </w:num>
  <w:num w:numId="14">
    <w:abstractNumId w:val="7"/>
  </w:num>
  <w:num w:numId="15">
    <w:abstractNumId w:val="1"/>
  </w:num>
  <w:num w:numId="16">
    <w:abstractNumId w:val="17"/>
  </w:num>
  <w:num w:numId="17">
    <w:abstractNumId w:val="8"/>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A3A"/>
    <w:rsid w:val="00022B1B"/>
    <w:rsid w:val="00026ACD"/>
    <w:rsid w:val="00031169"/>
    <w:rsid w:val="0003172D"/>
    <w:rsid w:val="00087DD7"/>
    <w:rsid w:val="000A305F"/>
    <w:rsid w:val="000C7BCB"/>
    <w:rsid w:val="000D3B7B"/>
    <w:rsid w:val="000F6E00"/>
    <w:rsid w:val="001258BB"/>
    <w:rsid w:val="00152349"/>
    <w:rsid w:val="00174AEB"/>
    <w:rsid w:val="00174B16"/>
    <w:rsid w:val="0019313E"/>
    <w:rsid w:val="001F1B0A"/>
    <w:rsid w:val="001F4DF3"/>
    <w:rsid w:val="002200FF"/>
    <w:rsid w:val="00244800"/>
    <w:rsid w:val="00265D3D"/>
    <w:rsid w:val="00300D24"/>
    <w:rsid w:val="00305463"/>
    <w:rsid w:val="00315F38"/>
    <w:rsid w:val="0031752F"/>
    <w:rsid w:val="003523C8"/>
    <w:rsid w:val="003726D5"/>
    <w:rsid w:val="00383179"/>
    <w:rsid w:val="003B45EF"/>
    <w:rsid w:val="004176D0"/>
    <w:rsid w:val="0041787B"/>
    <w:rsid w:val="00477AF9"/>
    <w:rsid w:val="00481BF3"/>
    <w:rsid w:val="0049098C"/>
    <w:rsid w:val="00497314"/>
    <w:rsid w:val="004D3278"/>
    <w:rsid w:val="00506E6D"/>
    <w:rsid w:val="005109BD"/>
    <w:rsid w:val="00545347"/>
    <w:rsid w:val="00562EDB"/>
    <w:rsid w:val="00576C57"/>
    <w:rsid w:val="005932E4"/>
    <w:rsid w:val="005A087D"/>
    <w:rsid w:val="005C45EF"/>
    <w:rsid w:val="005C7481"/>
    <w:rsid w:val="005C7E71"/>
    <w:rsid w:val="005E208F"/>
    <w:rsid w:val="006331EF"/>
    <w:rsid w:val="00637D81"/>
    <w:rsid w:val="00642D24"/>
    <w:rsid w:val="0069040E"/>
    <w:rsid w:val="006F7851"/>
    <w:rsid w:val="0072470E"/>
    <w:rsid w:val="00726D14"/>
    <w:rsid w:val="007B673F"/>
    <w:rsid w:val="00806921"/>
    <w:rsid w:val="008075D3"/>
    <w:rsid w:val="00813179"/>
    <w:rsid w:val="00854210"/>
    <w:rsid w:val="008601E2"/>
    <w:rsid w:val="00866BE5"/>
    <w:rsid w:val="00873498"/>
    <w:rsid w:val="008A051E"/>
    <w:rsid w:val="008C7122"/>
    <w:rsid w:val="00986FC9"/>
    <w:rsid w:val="009A05FE"/>
    <w:rsid w:val="009D1EA6"/>
    <w:rsid w:val="009E3486"/>
    <w:rsid w:val="00A21C8C"/>
    <w:rsid w:val="00A47881"/>
    <w:rsid w:val="00A50F8D"/>
    <w:rsid w:val="00A5630F"/>
    <w:rsid w:val="00A6035A"/>
    <w:rsid w:val="00A8218E"/>
    <w:rsid w:val="00AB5EAC"/>
    <w:rsid w:val="00B00DFD"/>
    <w:rsid w:val="00B34375"/>
    <w:rsid w:val="00B34E1C"/>
    <w:rsid w:val="00B37B1D"/>
    <w:rsid w:val="00B43637"/>
    <w:rsid w:val="00B702E1"/>
    <w:rsid w:val="00B858C9"/>
    <w:rsid w:val="00BB7A3A"/>
    <w:rsid w:val="00BD4852"/>
    <w:rsid w:val="00C633ED"/>
    <w:rsid w:val="00CF34D6"/>
    <w:rsid w:val="00D04452"/>
    <w:rsid w:val="00D16DFC"/>
    <w:rsid w:val="00D334C8"/>
    <w:rsid w:val="00D66528"/>
    <w:rsid w:val="00D66B63"/>
    <w:rsid w:val="00D834C3"/>
    <w:rsid w:val="00D906F5"/>
    <w:rsid w:val="00DA11CD"/>
    <w:rsid w:val="00DB0762"/>
    <w:rsid w:val="00DC2CDF"/>
    <w:rsid w:val="00E03A99"/>
    <w:rsid w:val="00E3025E"/>
    <w:rsid w:val="00E46C72"/>
    <w:rsid w:val="00E91436"/>
    <w:rsid w:val="00EB2559"/>
    <w:rsid w:val="00EC6C21"/>
    <w:rsid w:val="00EE38ED"/>
    <w:rsid w:val="00EE5A48"/>
    <w:rsid w:val="00F20250"/>
    <w:rsid w:val="00F33CEA"/>
    <w:rsid w:val="00FA76B7"/>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hAnsi="Cambria"/>
      <w:sz w:val="24"/>
      <w:szCs w:val="24"/>
    </w:rPr>
  </w:style>
  <w:style w:type="paragraph" w:styleId="Heading3">
    <w:name w:val="heading 3"/>
    <w:basedOn w:val="Normal"/>
    <w:next w:val="Normal"/>
    <w:link w:val="Heading3Char"/>
    <w:uiPriority w:val="99"/>
    <w:qFormat/>
    <w:locked/>
    <w:rsid w:val="007B67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62EDB"/>
    <w:rPr>
      <w:rFonts w:ascii="Cambria" w:hAnsi="Cambria" w:cs="Times New Roman"/>
      <w:b/>
      <w:bCs/>
      <w:sz w:val="26"/>
      <w:szCs w:val="26"/>
    </w:rPr>
  </w:style>
  <w:style w:type="table" w:styleId="TableGrid">
    <w:name w:val="Table Grid"/>
    <w:basedOn w:val="TableNormal"/>
    <w:uiPriority w:val="99"/>
    <w:rsid w:val="000A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A305F"/>
    <w:rPr>
      <w:rFonts w:ascii="Courier" w:hAnsi="Courier"/>
    </w:rPr>
  </w:style>
  <w:style w:type="character" w:customStyle="1" w:styleId="PlainTextChar">
    <w:name w:val="Plain Text Char"/>
    <w:basedOn w:val="DefaultParagraphFont"/>
    <w:link w:val="PlainText"/>
    <w:uiPriority w:val="99"/>
    <w:semiHidden/>
    <w:locked/>
    <w:rsid w:val="00562EDB"/>
    <w:rPr>
      <w:rFonts w:ascii="Courier New" w:hAnsi="Courier New" w:cs="Courier New"/>
      <w:sz w:val="20"/>
      <w:szCs w:val="20"/>
    </w:rPr>
  </w:style>
  <w:style w:type="paragraph" w:customStyle="1" w:styleId="Healthbody">
    <w:name w:val="Health body"/>
    <w:uiPriority w:val="99"/>
    <w:rsid w:val="000A305F"/>
    <w:pPr>
      <w:spacing w:after="120" w:line="270" w:lineRule="atLeast"/>
    </w:pPr>
    <w:rPr>
      <w:rFonts w:ascii="Arial" w:eastAsia="MS Mincho" w:hAnsi="Arial"/>
      <w:sz w:val="20"/>
      <w:szCs w:val="24"/>
      <w:lang w:val="en-AU"/>
    </w:rPr>
  </w:style>
  <w:style w:type="paragraph" w:customStyle="1" w:styleId="Healthheading1">
    <w:name w:val="Health heading 1"/>
    <w:uiPriority w:val="99"/>
    <w:rsid w:val="000A305F"/>
    <w:pPr>
      <w:keepNext/>
      <w:keepLines/>
      <w:spacing w:before="400" w:after="160" w:line="520" w:lineRule="atLeast"/>
    </w:pPr>
    <w:rPr>
      <w:rFonts w:ascii="Arial" w:hAnsi="Arial"/>
      <w:color w:val="0073CF"/>
      <w:sz w:val="44"/>
      <w:szCs w:val="24"/>
      <w:lang w:val="en-AU"/>
    </w:rPr>
  </w:style>
  <w:style w:type="paragraph" w:styleId="Header">
    <w:name w:val="header"/>
    <w:basedOn w:val="Normal"/>
    <w:link w:val="HeaderChar"/>
    <w:uiPriority w:val="99"/>
    <w:rsid w:val="000A305F"/>
    <w:pPr>
      <w:tabs>
        <w:tab w:val="center" w:pos="4320"/>
        <w:tab w:val="right" w:pos="8640"/>
      </w:tabs>
    </w:pPr>
  </w:style>
  <w:style w:type="character" w:customStyle="1" w:styleId="HeaderChar">
    <w:name w:val="Header Char"/>
    <w:basedOn w:val="DefaultParagraphFont"/>
    <w:link w:val="Header"/>
    <w:uiPriority w:val="99"/>
    <w:semiHidden/>
    <w:locked/>
    <w:rsid w:val="00562EDB"/>
    <w:rPr>
      <w:rFonts w:ascii="Cambria" w:hAnsi="Cambria" w:cs="Times New Roman"/>
      <w:sz w:val="24"/>
      <w:szCs w:val="24"/>
    </w:rPr>
  </w:style>
  <w:style w:type="paragraph" w:customStyle="1" w:styleId="Healthheading2">
    <w:name w:val="Health heading 2"/>
    <w:uiPriority w:val="99"/>
    <w:rsid w:val="000A305F"/>
    <w:pPr>
      <w:keepNext/>
      <w:keepLines/>
      <w:spacing w:before="280" w:after="120" w:line="320" w:lineRule="atLeast"/>
    </w:pPr>
    <w:rPr>
      <w:rFonts w:ascii="Arial" w:eastAsia="MS Mincho" w:hAnsi="Arial"/>
      <w:b/>
      <w:sz w:val="28"/>
      <w:szCs w:val="24"/>
      <w:lang w:val="en-AU"/>
    </w:rPr>
  </w:style>
  <w:style w:type="paragraph" w:customStyle="1" w:styleId="Healthheading3">
    <w:name w:val="Health heading 3"/>
    <w:uiPriority w:val="99"/>
    <w:rsid w:val="000A305F"/>
    <w:pPr>
      <w:keepNext/>
      <w:keepLines/>
      <w:spacing w:before="280" w:after="120" w:line="280" w:lineRule="atLeast"/>
    </w:pPr>
    <w:rPr>
      <w:rFonts w:ascii="Arial" w:eastAsia="MS Mincho" w:hAnsi="Arial"/>
      <w:b/>
      <w:sz w:val="24"/>
      <w:szCs w:val="24"/>
      <w:lang w:val="en-AU"/>
    </w:rPr>
  </w:style>
  <w:style w:type="paragraph" w:customStyle="1" w:styleId="Bannertablecell">
    <w:name w:val="Banner table cell"/>
    <w:uiPriority w:val="99"/>
    <w:rsid w:val="000A305F"/>
    <w:pPr>
      <w:keepNext/>
      <w:keepLines/>
      <w:spacing w:before="1" w:line="270" w:lineRule="atLeast"/>
    </w:pPr>
    <w:rPr>
      <w:rFonts w:ascii="Arial" w:eastAsia="MS Mincho" w:hAnsi="Arial"/>
      <w:b/>
      <w:sz w:val="28"/>
      <w:szCs w:val="24"/>
      <w:lang w:val="en-AU"/>
    </w:rPr>
  </w:style>
  <w:style w:type="paragraph" w:customStyle="1" w:styleId="Healthheading4">
    <w:name w:val="Health heading 4"/>
    <w:basedOn w:val="Healthbody"/>
    <w:uiPriority w:val="99"/>
    <w:rsid w:val="000A305F"/>
    <w:pPr>
      <w:keepNext/>
      <w:keepLines/>
      <w:spacing w:before="240" w:after="80" w:line="240" w:lineRule="atLeast"/>
    </w:pPr>
    <w:rPr>
      <w:b/>
    </w:rPr>
  </w:style>
  <w:style w:type="paragraph" w:customStyle="1" w:styleId="Healthbullet1">
    <w:name w:val="Health bullet 1"/>
    <w:basedOn w:val="Healthbody"/>
    <w:uiPriority w:val="99"/>
    <w:rsid w:val="000A305F"/>
    <w:pPr>
      <w:numPr>
        <w:numId w:val="4"/>
      </w:numPr>
      <w:spacing w:after="40"/>
    </w:pPr>
  </w:style>
  <w:style w:type="paragraph" w:customStyle="1" w:styleId="Healthmainheading">
    <w:name w:val="Health main heading"/>
    <w:uiPriority w:val="99"/>
    <w:rsid w:val="000A305F"/>
    <w:rPr>
      <w:rFonts w:ascii="Arial" w:hAnsi="Arial"/>
      <w:color w:val="FFFFFF"/>
      <w:sz w:val="44"/>
      <w:szCs w:val="24"/>
      <w:lang w:val="en-AU"/>
    </w:rPr>
  </w:style>
  <w:style w:type="paragraph" w:customStyle="1" w:styleId="Healthmainsubheading">
    <w:name w:val="Health main subheading"/>
    <w:uiPriority w:val="99"/>
    <w:rsid w:val="000A305F"/>
    <w:rPr>
      <w:rFonts w:ascii="Arial" w:hAnsi="Arial"/>
      <w:color w:val="FFFFFF"/>
      <w:sz w:val="28"/>
      <w:szCs w:val="24"/>
      <w:lang w:val="en-AU"/>
    </w:rPr>
  </w:style>
  <w:style w:type="paragraph" w:styleId="Footer">
    <w:name w:val="footer"/>
    <w:basedOn w:val="Normal"/>
    <w:link w:val="FooterChar"/>
    <w:uiPriority w:val="99"/>
    <w:semiHidden/>
    <w:rsid w:val="000A305F"/>
    <w:pPr>
      <w:tabs>
        <w:tab w:val="center" w:pos="4320"/>
        <w:tab w:val="right" w:pos="8640"/>
      </w:tabs>
    </w:pPr>
  </w:style>
  <w:style w:type="character" w:customStyle="1" w:styleId="FooterChar">
    <w:name w:val="Footer Char"/>
    <w:basedOn w:val="DefaultParagraphFont"/>
    <w:link w:val="Footer"/>
    <w:uiPriority w:val="99"/>
    <w:semiHidden/>
    <w:locked/>
    <w:rsid w:val="00562EDB"/>
    <w:rPr>
      <w:rFonts w:ascii="Cambria" w:hAnsi="Cambria" w:cs="Times New Roman"/>
      <w:sz w:val="24"/>
      <w:szCs w:val="24"/>
    </w:rPr>
  </w:style>
  <w:style w:type="character" w:styleId="PageNumber">
    <w:name w:val="page number"/>
    <w:basedOn w:val="DefaultParagraphFont"/>
    <w:uiPriority w:val="99"/>
    <w:rsid w:val="000A305F"/>
    <w:rPr>
      <w:rFonts w:cs="Times New Roman"/>
    </w:rPr>
  </w:style>
  <w:style w:type="paragraph" w:customStyle="1" w:styleId="Healthfooter">
    <w:name w:val="Health footer"/>
    <w:uiPriority w:val="99"/>
    <w:rsid w:val="000A305F"/>
    <w:pPr>
      <w:tabs>
        <w:tab w:val="right" w:pos="9923"/>
      </w:tabs>
    </w:pPr>
    <w:rPr>
      <w:rFonts w:ascii="Arial" w:hAnsi="Arial"/>
      <w:color w:val="808080"/>
      <w:sz w:val="20"/>
      <w:szCs w:val="24"/>
      <w:lang w:val="en-AU"/>
    </w:rPr>
  </w:style>
  <w:style w:type="paragraph" w:styleId="FootnoteText">
    <w:name w:val="footnote text"/>
    <w:basedOn w:val="Normal"/>
    <w:link w:val="FootnoteTextChar"/>
    <w:uiPriority w:val="99"/>
    <w:semiHidden/>
    <w:rsid w:val="000A305F"/>
  </w:style>
  <w:style w:type="character" w:customStyle="1" w:styleId="FootnoteTextChar">
    <w:name w:val="Footnote Text Char"/>
    <w:basedOn w:val="DefaultParagraphFont"/>
    <w:link w:val="FootnoteText"/>
    <w:uiPriority w:val="99"/>
    <w:semiHidden/>
    <w:locked/>
    <w:rsid w:val="00562EDB"/>
    <w:rPr>
      <w:rFonts w:ascii="Cambria" w:hAnsi="Cambria" w:cs="Times New Roman"/>
      <w:sz w:val="20"/>
      <w:szCs w:val="20"/>
    </w:rPr>
  </w:style>
  <w:style w:type="paragraph" w:customStyle="1" w:styleId="Healthbullet1lastline">
    <w:name w:val="Health bullet 1 last line"/>
    <w:basedOn w:val="Healthbullet1"/>
    <w:uiPriority w:val="99"/>
    <w:rsid w:val="000A305F"/>
    <w:pPr>
      <w:spacing w:after="120"/>
    </w:pPr>
  </w:style>
  <w:style w:type="paragraph" w:customStyle="1" w:styleId="Healthbullet2">
    <w:name w:val="Health bullet 2"/>
    <w:basedOn w:val="Healthbullet1"/>
    <w:uiPriority w:val="99"/>
    <w:rsid w:val="000A305F"/>
    <w:pPr>
      <w:numPr>
        <w:numId w:val="7"/>
      </w:numPr>
      <w:ind w:left="568" w:hanging="284"/>
    </w:pPr>
  </w:style>
  <w:style w:type="paragraph" w:customStyle="1" w:styleId="Healthbullet2lastline">
    <w:name w:val="Health bullet 2 last line"/>
    <w:basedOn w:val="Healthbullet1"/>
    <w:uiPriority w:val="99"/>
    <w:rsid w:val="000A305F"/>
    <w:pPr>
      <w:spacing w:after="120"/>
    </w:pPr>
  </w:style>
  <w:style w:type="character" w:styleId="FootnoteReference">
    <w:name w:val="footnote reference"/>
    <w:basedOn w:val="DefaultParagraphFont"/>
    <w:uiPriority w:val="99"/>
    <w:semiHidden/>
    <w:rsid w:val="000A305F"/>
    <w:rPr>
      <w:rFonts w:cs="Times New Roman"/>
      <w:vertAlign w:val="superscript"/>
    </w:rPr>
  </w:style>
  <w:style w:type="paragraph" w:customStyle="1" w:styleId="Healthtablebullet">
    <w:name w:val="Health table bullet"/>
    <w:basedOn w:val="Healthtablebody"/>
    <w:uiPriority w:val="99"/>
    <w:rsid w:val="000A305F"/>
    <w:pPr>
      <w:numPr>
        <w:numId w:val="8"/>
      </w:numPr>
    </w:pPr>
  </w:style>
  <w:style w:type="paragraph" w:customStyle="1" w:styleId="Healthfootnote">
    <w:name w:val="Health footnote"/>
    <w:uiPriority w:val="99"/>
    <w:rsid w:val="000A305F"/>
    <w:pPr>
      <w:spacing w:after="60" w:line="200" w:lineRule="atLeast"/>
      <w:ind w:left="284" w:hanging="284"/>
    </w:pPr>
    <w:rPr>
      <w:rFonts w:ascii="Arial" w:hAnsi="Arial"/>
      <w:color w:val="000000"/>
      <w:sz w:val="16"/>
      <w:szCs w:val="24"/>
      <w:lang w:val="en-AU"/>
    </w:rPr>
  </w:style>
  <w:style w:type="paragraph" w:customStyle="1" w:styleId="Healthtablecaption">
    <w:name w:val="Health table caption"/>
    <w:uiPriority w:val="99"/>
    <w:rsid w:val="000A305F"/>
    <w:pPr>
      <w:spacing w:before="240" w:after="80" w:line="240" w:lineRule="atLeast"/>
    </w:pPr>
    <w:rPr>
      <w:rFonts w:ascii="Arial" w:eastAsia="MS Mincho" w:hAnsi="Arial"/>
      <w:b/>
      <w:sz w:val="20"/>
      <w:szCs w:val="24"/>
      <w:lang w:val="en-AU"/>
    </w:rPr>
  </w:style>
  <w:style w:type="paragraph" w:customStyle="1" w:styleId="Healthfigurecaption">
    <w:name w:val="Health figure caption"/>
    <w:uiPriority w:val="99"/>
    <w:rsid w:val="000A305F"/>
    <w:pPr>
      <w:spacing w:before="240" w:after="120" w:line="240" w:lineRule="atLeast"/>
    </w:pPr>
    <w:rPr>
      <w:rFonts w:ascii="Arial" w:eastAsia="MS Mincho" w:hAnsi="Arial"/>
      <w:b/>
      <w:sz w:val="20"/>
      <w:szCs w:val="24"/>
      <w:lang w:val="en-AU"/>
    </w:rPr>
  </w:style>
  <w:style w:type="paragraph" w:customStyle="1" w:styleId="Healthtablecolumnhead">
    <w:name w:val="Health table column head"/>
    <w:uiPriority w:val="99"/>
    <w:rsid w:val="000A305F"/>
    <w:pPr>
      <w:spacing w:after="40" w:line="220" w:lineRule="atLeast"/>
    </w:pPr>
    <w:rPr>
      <w:rFonts w:ascii="Arial" w:eastAsia="MS Mincho" w:hAnsi="Arial"/>
      <w:b/>
      <w:color w:val="FFFFFF"/>
      <w:sz w:val="18"/>
      <w:szCs w:val="24"/>
      <w:lang w:val="en-AU"/>
    </w:rPr>
  </w:style>
  <w:style w:type="paragraph" w:customStyle="1" w:styleId="Healthtablebody">
    <w:name w:val="Health table body"/>
    <w:uiPriority w:val="99"/>
    <w:rsid w:val="000A305F"/>
    <w:pPr>
      <w:spacing w:after="40" w:line="220" w:lineRule="atLeast"/>
    </w:pPr>
    <w:rPr>
      <w:rFonts w:ascii="Arial" w:eastAsia="MS Mincho" w:hAnsi="Arial"/>
      <w:sz w:val="18"/>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5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LANNING\Submissions\Allied%20Health\Small%20Capital%20and%20Equipment%20grant\Small%20Capital%20&amp;%20Equipment%20Final%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Small Capital &amp; Equipment Final report template</Template>
  <TotalTime>47</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Western</dc:creator>
  <cp:lastModifiedBy>Yvette Buffon</cp:lastModifiedBy>
  <cp:revision>11</cp:revision>
  <cp:lastPrinted>2014-10-13T23:37:00Z</cp:lastPrinted>
  <dcterms:created xsi:type="dcterms:W3CDTF">2013-05-06T05:21:00Z</dcterms:created>
  <dcterms:modified xsi:type="dcterms:W3CDTF">2014-10-13T23:37:00Z</dcterms:modified>
</cp:coreProperties>
</file>