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8B05DA"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2E665E04" wp14:editId="28319D6A">
                      <wp:simplePos x="0" y="0"/>
                      <wp:positionH relativeFrom="page">
                        <wp:posOffset>720090</wp:posOffset>
                      </wp:positionH>
                      <wp:positionV relativeFrom="page">
                        <wp:posOffset>1734820</wp:posOffset>
                      </wp:positionV>
                      <wp:extent cx="4319905" cy="288290"/>
                      <wp:effectExtent l="0" t="0" r="4445"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BB0" w:rsidRPr="0041787B" w:rsidRDefault="002D0BB0" w:rsidP="000C7BCB">
                                  <w:pPr>
                                    <w:pStyle w:val="Healthmainsubheading"/>
                                  </w:pPr>
                                  <w:r>
                                    <w:t xml:space="preserve">Fixed term funding final project report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7pt;margin-top:136.6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b2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" filled="f" stroked="f">
                      <v:textbox inset="0,0,0,0">
                        <w:txbxContent>
                          <w:p w:rsidR="002D0BB0" w:rsidRPr="0041787B" w:rsidRDefault="002D0BB0" w:rsidP="000C7BCB">
                            <w:pPr>
                              <w:pStyle w:val="Healthmainsubheading"/>
                            </w:pPr>
                            <w:r>
                              <w:t xml:space="preserve">Fixed term funding final project report </w:t>
                            </w:r>
                          </w:p>
                        </w:txbxContent>
                      </v:textbox>
                      <w10:wrap anchorx="page" anchory="page"/>
                    </v:shape>
                  </w:pict>
                </mc:Fallback>
              </mc:AlternateContent>
            </w:r>
            <w:r w:rsidR="00301463">
              <w:rPr>
                <w:noProof/>
                <w:lang w:eastAsia="en-AU"/>
              </w:rPr>
              <mc:AlternateContent>
                <mc:Choice Requires="wps">
                  <w:drawing>
                    <wp:anchor distT="0" distB="0" distL="114300" distR="114300" simplePos="0" relativeHeight="251656704" behindDoc="0" locked="0" layoutInCell="1" allowOverlap="1" wp14:anchorId="1FBA1D90" wp14:editId="420CEDC9">
                      <wp:simplePos x="0" y="0"/>
                      <wp:positionH relativeFrom="page">
                        <wp:posOffset>720090</wp:posOffset>
                      </wp:positionH>
                      <wp:positionV relativeFrom="page">
                        <wp:posOffset>828040</wp:posOffset>
                      </wp:positionV>
                      <wp:extent cx="4319905" cy="6858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BB0" w:rsidRPr="0041787B" w:rsidRDefault="002D0BB0" w:rsidP="000C7BCB">
                                  <w:pPr>
                                    <w:pStyle w:val="Healthmainheading"/>
                                  </w:pPr>
                                  <w:r>
                                    <w:t>Simulated Learning Environment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pHtA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ECKR7QCAACw&#10;BQAADgAAAAAAAAAAAAAAAAAuAgAAZHJzL2Uyb0RvYy54bWxQSwECLQAUAAYACAAAACEAMPEkTOAA&#10;AAALAQAADwAAAAAAAAAAAAAAAAAOBQAAZHJzL2Rvd25yZXYueG1sUEsFBgAAAAAEAAQA8wAAABsG&#10;AAAAAA==&#10;" filled="f" stroked="f">
                      <v:textbox inset="0,0,0,0">
                        <w:txbxContent>
                          <w:p w:rsidR="002D0BB0" w:rsidRPr="0041787B" w:rsidRDefault="002D0BB0" w:rsidP="000C7BCB">
                            <w:pPr>
                              <w:pStyle w:val="Healthmainheading"/>
                            </w:pPr>
                            <w:r>
                              <w:t>Simulated Learning Environment Program</w:t>
                            </w:r>
                          </w:p>
                        </w:txbxContent>
                      </v:textbox>
                      <w10:wrap anchorx="page" anchory="page"/>
                    </v:shape>
                  </w:pict>
                </mc:Fallback>
              </mc:AlternateContent>
            </w:r>
            <w:r w:rsidR="004C5EE9">
              <w:rPr>
                <w:noProof/>
                <w:szCs w:val="20"/>
                <w:lang w:eastAsia="en-AU"/>
              </w:rPr>
              <w:drawing>
                <wp:anchor distT="0" distB="0" distL="114300" distR="114300" simplePos="0" relativeHeight="251658752" behindDoc="0" locked="1" layoutInCell="1" allowOverlap="1" wp14:anchorId="050B1502" wp14:editId="1531B12A">
                  <wp:simplePos x="0" y="0"/>
                  <wp:positionH relativeFrom="page">
                    <wp:posOffset>720090</wp:posOffset>
                  </wp:positionH>
                  <wp:positionV relativeFrom="page">
                    <wp:posOffset>10081260</wp:posOffset>
                  </wp:positionV>
                  <wp:extent cx="723900" cy="419100"/>
                  <wp:effectExtent l="0" t="0" r="0" b="0"/>
                  <wp:wrapNone/>
                  <wp:docPr id="5" name="Picture 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anchor>
              </w:drawing>
            </w:r>
            <w:r w:rsidR="004C5EE9">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4D6B5E" w:rsidRDefault="004D6B5E" w:rsidP="008C7122">
      <w:pPr>
        <w:rPr>
          <w:rFonts w:ascii="Arial" w:hAnsi="Arial" w:cs="Arial"/>
          <w:u w:val="single"/>
        </w:rPr>
      </w:pPr>
    </w:p>
    <w:p w:rsidR="0004105D" w:rsidRDefault="0004105D" w:rsidP="0004105D">
      <w:pPr>
        <w:pStyle w:val="Healthbody"/>
        <w:sectPr w:rsidR="0004105D" w:rsidSect="000C7BCB">
          <w:footerReference w:type="default" r:id="rId11"/>
          <w:type w:val="continuous"/>
          <w:pgSz w:w="11899" w:h="16838"/>
          <w:pgMar w:top="0" w:right="851" w:bottom="2155" w:left="1134" w:header="0" w:footer="567" w:gutter="0"/>
          <w:cols w:space="708"/>
        </w:sectPr>
      </w:pPr>
    </w:p>
    <w:p w:rsidR="008B05DA" w:rsidRDefault="008B05DA" w:rsidP="008B05DA">
      <w:pPr>
        <w:pStyle w:val="Healthbody"/>
        <w:jc w:val="center"/>
      </w:pPr>
    </w:p>
    <w:p w:rsidR="008B05DA" w:rsidRDefault="008B05DA" w:rsidP="008B05DA">
      <w:pPr>
        <w:pStyle w:val="Healthbody"/>
        <w:jc w:val="center"/>
      </w:pPr>
    </w:p>
    <w:p w:rsidR="0004105D" w:rsidRPr="008B05DA" w:rsidRDefault="00F16E3D" w:rsidP="008B05DA">
      <w:pPr>
        <w:pStyle w:val="Healthheading1"/>
        <w:jc w:val="center"/>
      </w:pPr>
      <w:r w:rsidRPr="008B05DA">
        <w:t>Simulated</w:t>
      </w:r>
      <w:r w:rsidR="008B05DA">
        <w:t xml:space="preserve"> Learning Environment (SLE) </w:t>
      </w:r>
      <w:r w:rsidR="008B05DA">
        <w:br/>
        <w:t>i</w:t>
      </w:r>
      <w:r w:rsidRPr="008B05DA">
        <w:t xml:space="preserve">ntegration </w:t>
      </w:r>
      <w:r w:rsidR="008B05DA">
        <w:t>and</w:t>
      </w:r>
      <w:r w:rsidRPr="008B05DA">
        <w:t xml:space="preserve"> </w:t>
      </w:r>
      <w:r w:rsidR="008B05DA">
        <w:t>d</w:t>
      </w:r>
      <w:r w:rsidRPr="008B05DA">
        <w:t xml:space="preserve">evelopment </w:t>
      </w:r>
      <w:r w:rsidR="008B05DA">
        <w:t>p</w:t>
      </w:r>
      <w:r w:rsidRPr="008B05DA">
        <w:t xml:space="preserve">roject for the </w:t>
      </w:r>
      <w:r w:rsidR="008B05DA">
        <w:br/>
      </w:r>
      <w:r w:rsidRPr="008B05DA">
        <w:t>Loddon Mallee region</w:t>
      </w:r>
    </w:p>
    <w:p w:rsidR="00F16E3D" w:rsidRDefault="00F16E3D" w:rsidP="008B05DA">
      <w:pPr>
        <w:pStyle w:val="Healthbody"/>
        <w:jc w:val="center"/>
      </w:pPr>
    </w:p>
    <w:p w:rsidR="008B05DA" w:rsidRPr="008B05DA" w:rsidRDefault="008B05DA" w:rsidP="008B05DA">
      <w:pPr>
        <w:pStyle w:val="Healthbody"/>
        <w:jc w:val="center"/>
      </w:pPr>
    </w:p>
    <w:p w:rsidR="00A17BC8" w:rsidRPr="008B05DA" w:rsidRDefault="008B05DA" w:rsidP="008B05DA">
      <w:pPr>
        <w:pStyle w:val="Healthheading3"/>
        <w:jc w:val="center"/>
      </w:pPr>
      <w:r>
        <w:t>Submitted b</w:t>
      </w:r>
      <w:r w:rsidR="0004105D" w:rsidRPr="008B05DA">
        <w:t>y:</w:t>
      </w:r>
    </w:p>
    <w:p w:rsidR="00A17BC8" w:rsidRPr="008B05DA" w:rsidRDefault="00A17BC8" w:rsidP="008B05DA">
      <w:pPr>
        <w:pStyle w:val="Healthheading3"/>
        <w:jc w:val="center"/>
      </w:pPr>
      <w:r w:rsidRPr="008B05DA">
        <w:t>Monash University</w:t>
      </w:r>
    </w:p>
    <w:p w:rsidR="0004105D" w:rsidRPr="008B05DA" w:rsidRDefault="008B05DA" w:rsidP="008B05DA">
      <w:pPr>
        <w:pStyle w:val="Healthheading3"/>
        <w:jc w:val="center"/>
      </w:pPr>
      <w:r>
        <w:t>School of Rural Health</w:t>
      </w:r>
      <w:r w:rsidR="00A17BC8" w:rsidRPr="008B05DA">
        <w:t xml:space="preserve"> </w:t>
      </w:r>
      <w:r w:rsidR="000F79D4" w:rsidRPr="008B05DA">
        <w:t>–</w:t>
      </w:r>
      <w:r w:rsidR="00A17BC8" w:rsidRPr="008B05DA">
        <w:t xml:space="preserve"> Bendigo</w:t>
      </w:r>
      <w:r w:rsidR="000F79D4" w:rsidRPr="008B05DA">
        <w:t xml:space="preserve"> and Mildura</w:t>
      </w:r>
    </w:p>
    <w:p w:rsidR="008B05DA" w:rsidRDefault="008B05DA" w:rsidP="008B05DA">
      <w:pPr>
        <w:pStyle w:val="Healthbody"/>
        <w:jc w:val="center"/>
      </w:pPr>
    </w:p>
    <w:p w:rsidR="008B05DA" w:rsidRDefault="008B05DA" w:rsidP="008B05DA">
      <w:pPr>
        <w:pStyle w:val="Healthbody"/>
        <w:jc w:val="center"/>
      </w:pPr>
    </w:p>
    <w:p w:rsidR="0004105D" w:rsidRPr="008B05DA" w:rsidRDefault="0004105D" w:rsidP="008B05DA">
      <w:pPr>
        <w:pStyle w:val="Healthheading3"/>
        <w:jc w:val="center"/>
      </w:pPr>
      <w:r w:rsidRPr="008B05DA">
        <w:t>In partnership with:</w:t>
      </w:r>
    </w:p>
    <w:p w:rsidR="0004105D" w:rsidRPr="008B05DA" w:rsidRDefault="00A17BC8" w:rsidP="008B05DA">
      <w:pPr>
        <w:pStyle w:val="Healthheading3"/>
        <w:jc w:val="center"/>
      </w:pPr>
      <w:r w:rsidRPr="008B05DA">
        <w:t>Bendigo Health</w:t>
      </w:r>
      <w:r w:rsidR="0000684A" w:rsidRPr="008B05DA">
        <w:t xml:space="preserve"> Care </w:t>
      </w:r>
      <w:r w:rsidRPr="008B05DA">
        <w:t>Group</w:t>
      </w:r>
    </w:p>
    <w:p w:rsidR="00A17BC8" w:rsidRPr="008B05DA" w:rsidRDefault="00A17BC8" w:rsidP="008B05DA">
      <w:pPr>
        <w:pStyle w:val="Healthheading3"/>
        <w:jc w:val="center"/>
      </w:pPr>
      <w:r w:rsidRPr="008B05DA">
        <w:t>La Trobe University</w:t>
      </w:r>
    </w:p>
    <w:p w:rsidR="00A17BC8" w:rsidRPr="008B05DA" w:rsidRDefault="00A17BC8" w:rsidP="008B05DA">
      <w:pPr>
        <w:pStyle w:val="Healthheading3"/>
        <w:jc w:val="center"/>
      </w:pPr>
      <w:r w:rsidRPr="008B05DA">
        <w:t>Bendigo TAFE</w:t>
      </w:r>
    </w:p>
    <w:p w:rsidR="00A17BC8" w:rsidRPr="008B05DA" w:rsidRDefault="00A17BC8" w:rsidP="008B05DA">
      <w:pPr>
        <w:pStyle w:val="Healthbody"/>
        <w:jc w:val="center"/>
      </w:pPr>
    </w:p>
    <w:p w:rsidR="0004105D" w:rsidRDefault="0004105D" w:rsidP="008B05DA">
      <w:pPr>
        <w:pStyle w:val="Healthbody"/>
        <w:jc w:val="center"/>
      </w:pPr>
    </w:p>
    <w:p w:rsidR="008B05DA" w:rsidRDefault="008B05DA" w:rsidP="008B05DA">
      <w:pPr>
        <w:pStyle w:val="Healthbody"/>
        <w:jc w:val="center"/>
      </w:pPr>
    </w:p>
    <w:p w:rsidR="008B05DA" w:rsidRDefault="008B05DA" w:rsidP="008B05DA">
      <w:pPr>
        <w:pStyle w:val="Healthbody"/>
        <w:jc w:val="center"/>
      </w:pPr>
    </w:p>
    <w:p w:rsidR="008B05DA" w:rsidRPr="008B05DA" w:rsidRDefault="008B05DA" w:rsidP="008B05DA">
      <w:pPr>
        <w:pStyle w:val="Healthbody"/>
        <w:jc w:val="center"/>
      </w:pPr>
    </w:p>
    <w:p w:rsidR="0004105D" w:rsidRPr="008B05DA" w:rsidRDefault="00A17BC8" w:rsidP="008B05DA">
      <w:pPr>
        <w:pStyle w:val="Healthheading4"/>
        <w:jc w:val="center"/>
        <w:rPr>
          <w:rStyle w:val="Healthheading3Char"/>
          <w:b/>
          <w:sz w:val="20"/>
        </w:rPr>
      </w:pPr>
      <w:r w:rsidRPr="008B05DA">
        <w:rPr>
          <w:rStyle w:val="Healthheading3Char"/>
          <w:b/>
          <w:sz w:val="20"/>
        </w:rPr>
        <w:t>September 2013</w:t>
      </w:r>
    </w:p>
    <w:p w:rsidR="008B05DA" w:rsidRDefault="008B05DA">
      <w:pPr>
        <w:rPr>
          <w:rFonts w:ascii="Arial" w:hAnsi="Arial" w:cs="Arial"/>
          <w:b/>
          <w:u w:val="single"/>
        </w:rPr>
      </w:pPr>
      <w:r>
        <w:rPr>
          <w:rFonts w:ascii="Arial" w:hAnsi="Arial" w:cs="Arial"/>
          <w:b/>
          <w:u w:val="single"/>
        </w:rPr>
        <w:br w:type="page"/>
      </w:r>
    </w:p>
    <w:p w:rsidR="00F91CB3" w:rsidRPr="00B526F1" w:rsidRDefault="00F91CB3" w:rsidP="00F91CB3">
      <w:pPr>
        <w:pStyle w:val="Healthheading2"/>
        <w:rPr>
          <w:sz w:val="20"/>
        </w:rPr>
      </w:pPr>
      <w:r>
        <w:lastRenderedPageBreak/>
        <w:t>Definitions</w:t>
      </w:r>
    </w:p>
    <w:p w:rsidR="00F91CB3" w:rsidRPr="002A04CE" w:rsidRDefault="00F91CB3" w:rsidP="00F91CB3">
      <w:pPr>
        <w:pStyle w:val="Healthbody"/>
      </w:pPr>
      <w:r w:rsidRPr="00B526F1">
        <w:t>For</w:t>
      </w:r>
      <w:r>
        <w:t xml:space="preserve"> the purpose of the report</w:t>
      </w:r>
      <w:r w:rsidRPr="002A04CE">
        <w:t>, please use the def</w:t>
      </w:r>
      <w:r>
        <w:t>initions and explanations below:</w:t>
      </w:r>
    </w:p>
    <w:p w:rsidR="00F91CB3" w:rsidRPr="002A04CE" w:rsidRDefault="00F91CB3" w:rsidP="00F91CB3">
      <w:pPr>
        <w:pStyle w:val="Healthheading4"/>
      </w:pPr>
      <w:r w:rsidRPr="0039217D">
        <w:t>Simulation</w:t>
      </w:r>
    </w:p>
    <w:p w:rsidR="00F91CB3" w:rsidRPr="0039217D" w:rsidRDefault="00F91CB3" w:rsidP="00F91CB3">
      <w:pPr>
        <w:pStyle w:val="Healthbody"/>
      </w:pPr>
      <w:r w:rsidRPr="0039217D">
        <w:t xml:space="preserve">Learning methods provided in Simulated Learning Environments which </w:t>
      </w:r>
      <w:r>
        <w:t xml:space="preserve">support experiential learning. </w:t>
      </w:r>
      <w:r w:rsidRPr="0039217D">
        <w:t>Key components of experiential learning include:</w:t>
      </w:r>
    </w:p>
    <w:p w:rsidR="00F91CB3" w:rsidRPr="0039217D" w:rsidRDefault="00F91CB3" w:rsidP="00F91CB3">
      <w:pPr>
        <w:pStyle w:val="Healthbullet1"/>
      </w:pPr>
      <w:r w:rsidRPr="0039217D">
        <w:t>The learner interacts with a simulated or controlled real environment</w:t>
      </w:r>
      <w:r>
        <w:t>;</w:t>
      </w:r>
    </w:p>
    <w:p w:rsidR="00F91CB3" w:rsidRPr="0039217D" w:rsidRDefault="00F91CB3" w:rsidP="00F91CB3">
      <w:pPr>
        <w:pStyle w:val="Healthbullet1"/>
      </w:pPr>
      <w:r w:rsidRPr="0039217D">
        <w:t>A high proportion of the learning activities enact activities and tasks representative of the learner’s real world responsibilities</w:t>
      </w:r>
      <w:r>
        <w:t>;</w:t>
      </w:r>
    </w:p>
    <w:p w:rsidR="00F91CB3" w:rsidRPr="0039217D" w:rsidRDefault="00F91CB3" w:rsidP="00F91CB3">
      <w:pPr>
        <w:pStyle w:val="Healthbullet1lastline"/>
      </w:pPr>
      <w:r w:rsidRPr="0039217D">
        <w:t>The environment needs to be sufficiently realistic for e</w:t>
      </w:r>
      <w:r>
        <w:t xml:space="preserve">xperiential learning to occur. </w:t>
      </w:r>
      <w:r w:rsidRPr="0039217D">
        <w:t>Depending upon the learning objectives, realism can be built into the equipment, the surrounding environment or the overall integration of equipment, environment and interactions between learners and instructors.</w:t>
      </w:r>
    </w:p>
    <w:p w:rsidR="00F91CB3" w:rsidRPr="00226DA2" w:rsidRDefault="00F91CB3" w:rsidP="00F91CB3">
      <w:pPr>
        <w:pStyle w:val="Healthheading4"/>
      </w:pPr>
      <w:r w:rsidRPr="00226DA2">
        <w:t>Students</w:t>
      </w:r>
    </w:p>
    <w:p w:rsidR="00F91CB3" w:rsidRPr="00226DA2" w:rsidRDefault="00F91CB3" w:rsidP="00F91CB3">
      <w:pPr>
        <w:pStyle w:val="Healthbody"/>
      </w:pPr>
      <w:r>
        <w:t>Students</w:t>
      </w:r>
      <w:r w:rsidRPr="00226DA2">
        <w:t xml:space="preserve"> are participants in eligible simulation programs which may include professional</w:t>
      </w:r>
      <w:r>
        <w:t xml:space="preserve"> </w:t>
      </w:r>
      <w:r w:rsidRPr="00226DA2">
        <w:t>entry</w:t>
      </w:r>
      <w:r>
        <w:t>-</w:t>
      </w:r>
      <w:r w:rsidRPr="00226DA2">
        <w:t>level courses, postgraduate and VET sector courses and ongoing professional development.</w:t>
      </w:r>
      <w:r w:rsidRPr="00226DA2" w:rsidDel="006977A4">
        <w:t xml:space="preserve"> </w:t>
      </w:r>
    </w:p>
    <w:p w:rsidR="00F91CB3" w:rsidRPr="00226DA2" w:rsidRDefault="00F91CB3" w:rsidP="00F91CB3">
      <w:pPr>
        <w:pStyle w:val="Healthheading4"/>
      </w:pPr>
      <w:r w:rsidRPr="00226DA2">
        <w:t xml:space="preserve">Total </w:t>
      </w:r>
      <w:r>
        <w:t>n</w:t>
      </w:r>
      <w:r w:rsidRPr="00226DA2">
        <w:t xml:space="preserve">umber of </w:t>
      </w:r>
      <w:r>
        <w:t>s</w:t>
      </w:r>
      <w:r w:rsidRPr="00226DA2">
        <w:t xml:space="preserve">imulation </w:t>
      </w:r>
      <w:r>
        <w:t>e</w:t>
      </w:r>
      <w:r w:rsidRPr="00226DA2">
        <w:t xml:space="preserve">ducation </w:t>
      </w:r>
      <w:r>
        <w:t>h</w:t>
      </w:r>
      <w:r w:rsidRPr="00226DA2">
        <w:t xml:space="preserve">ours </w:t>
      </w:r>
    </w:p>
    <w:p w:rsidR="00F91CB3" w:rsidRPr="00226DA2" w:rsidRDefault="00F91CB3" w:rsidP="00F91CB3">
      <w:pPr>
        <w:pStyle w:val="Healthbody"/>
      </w:pPr>
      <w:r w:rsidRPr="00226DA2">
        <w:t>The total number of simulation education hours is reported over the life of the project for the purposes of measuring the baseline and growth of simulation activity across all projects cove</w:t>
      </w:r>
      <w:r>
        <w:t xml:space="preserve">red by this funding agreement. </w:t>
      </w:r>
      <w:r w:rsidRPr="00226DA2">
        <w:t>The calculation for counting the total number of simulation education hours is as follows:</w:t>
      </w:r>
    </w:p>
    <w:p w:rsidR="00F91CB3" w:rsidRPr="00226DA2" w:rsidRDefault="00F91CB3" w:rsidP="00F91CB3">
      <w:pPr>
        <w:pStyle w:val="Healthbody"/>
      </w:pPr>
      <w:r w:rsidRPr="00345534">
        <w:rPr>
          <w:b/>
        </w:rPr>
        <w:t>Calculation:</w:t>
      </w:r>
      <w:r w:rsidRPr="00226DA2">
        <w:t xml:space="preserve"> As an example, if a simulation course, workshop or other form of simulation education program runs for a duration of </w:t>
      </w:r>
      <w:r>
        <w:t>eight</w:t>
      </w:r>
      <w:r w:rsidRPr="00226DA2">
        <w:t xml:space="preserve"> hours and there are </w:t>
      </w:r>
      <w:r>
        <w:t>ten</w:t>
      </w:r>
      <w:r w:rsidRPr="00226DA2">
        <w:t xml:space="preserve"> participants/students, the total number of simulation hours for that course or workshop is 80. All courses, workshops or other forms of simulation education programs delivered through the project during the period to which this report relates, should be included in this calculation of total number of simulation education hours.</w:t>
      </w:r>
    </w:p>
    <w:p w:rsidR="00F91CB3" w:rsidRPr="00226DA2" w:rsidRDefault="00F91CB3" w:rsidP="00F91CB3">
      <w:pPr>
        <w:pStyle w:val="Healthbody"/>
      </w:pPr>
      <w:r w:rsidRPr="00226DA2">
        <w:t xml:space="preserve">Please calculate the growth in simulation education hours for the project using the baseline simulation education hours previously reported. </w:t>
      </w:r>
    </w:p>
    <w:p w:rsidR="00F91CB3" w:rsidRPr="00226DA2" w:rsidRDefault="00F91CB3" w:rsidP="00F91CB3">
      <w:pPr>
        <w:pStyle w:val="Healthheading4"/>
      </w:pPr>
      <w:r w:rsidRPr="00226DA2">
        <w:t xml:space="preserve">Rural and </w:t>
      </w:r>
      <w:r>
        <w:t>r</w:t>
      </w:r>
      <w:r w:rsidRPr="00226DA2">
        <w:t>emote</w:t>
      </w:r>
    </w:p>
    <w:p w:rsidR="00F91CB3" w:rsidRPr="00226DA2" w:rsidRDefault="00F91CB3" w:rsidP="00F91CB3">
      <w:pPr>
        <w:pStyle w:val="Healthbody"/>
      </w:pPr>
      <w:r w:rsidRPr="00226DA2">
        <w:t>For the purpose of these reports, use the AGSC RA (Remote Area Classifications) used by the Department of Health and Ageing.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2835"/>
      </w:tblGrid>
      <w:tr w:rsidR="00F91CB3" w:rsidRPr="00226DA2" w:rsidTr="002D0BB0">
        <w:tc>
          <w:tcPr>
            <w:tcW w:w="851" w:type="dxa"/>
            <w:shd w:val="clear" w:color="auto" w:fill="auto"/>
          </w:tcPr>
          <w:p w:rsidR="00F91CB3" w:rsidRPr="00226DA2" w:rsidRDefault="00F91CB3" w:rsidP="002D0BB0">
            <w:pPr>
              <w:pStyle w:val="Healthtablebody"/>
            </w:pPr>
            <w:r w:rsidRPr="00226DA2">
              <w:t>RA1</w:t>
            </w:r>
          </w:p>
        </w:tc>
        <w:tc>
          <w:tcPr>
            <w:tcW w:w="2835" w:type="dxa"/>
            <w:shd w:val="clear" w:color="auto" w:fill="auto"/>
          </w:tcPr>
          <w:p w:rsidR="00F91CB3" w:rsidRPr="00226DA2" w:rsidRDefault="00F91CB3" w:rsidP="002D0BB0">
            <w:pPr>
              <w:pStyle w:val="Healthtablebody"/>
            </w:pPr>
            <w:r w:rsidRPr="00226DA2">
              <w:t>Major Cities of Australia</w:t>
            </w:r>
          </w:p>
        </w:tc>
      </w:tr>
      <w:tr w:rsidR="00F91CB3" w:rsidRPr="00226DA2" w:rsidTr="002D0BB0">
        <w:tc>
          <w:tcPr>
            <w:tcW w:w="851" w:type="dxa"/>
            <w:shd w:val="clear" w:color="auto" w:fill="0073CF"/>
          </w:tcPr>
          <w:p w:rsidR="00F91CB3" w:rsidRPr="00A40B29" w:rsidRDefault="00F91CB3" w:rsidP="002D0BB0">
            <w:pPr>
              <w:pStyle w:val="Healthtablebody"/>
              <w:rPr>
                <w:color w:val="FFFFFF"/>
              </w:rPr>
            </w:pPr>
            <w:r w:rsidRPr="00A40B29">
              <w:rPr>
                <w:color w:val="FFFFFF"/>
              </w:rPr>
              <w:t>RA2</w:t>
            </w:r>
          </w:p>
        </w:tc>
        <w:tc>
          <w:tcPr>
            <w:tcW w:w="2835" w:type="dxa"/>
            <w:shd w:val="clear" w:color="auto" w:fill="0073CF"/>
          </w:tcPr>
          <w:p w:rsidR="00F91CB3" w:rsidRPr="00A40B29" w:rsidRDefault="00F91CB3" w:rsidP="002D0BB0">
            <w:pPr>
              <w:pStyle w:val="Healthtablebody"/>
              <w:rPr>
                <w:color w:val="FFFFFF"/>
              </w:rPr>
            </w:pPr>
            <w:r w:rsidRPr="00A40B29">
              <w:rPr>
                <w:color w:val="FFFFFF"/>
              </w:rPr>
              <w:t>Inner Regional Australia</w:t>
            </w:r>
          </w:p>
        </w:tc>
      </w:tr>
      <w:tr w:rsidR="00F91CB3" w:rsidRPr="00226DA2" w:rsidTr="002D0BB0">
        <w:tc>
          <w:tcPr>
            <w:tcW w:w="851" w:type="dxa"/>
            <w:shd w:val="clear" w:color="auto" w:fill="0073CF"/>
          </w:tcPr>
          <w:p w:rsidR="00F91CB3" w:rsidRPr="00A40B29" w:rsidRDefault="00F91CB3" w:rsidP="002D0BB0">
            <w:pPr>
              <w:pStyle w:val="Healthtablebody"/>
              <w:rPr>
                <w:color w:val="FFFFFF"/>
              </w:rPr>
            </w:pPr>
            <w:r w:rsidRPr="00A40B29">
              <w:rPr>
                <w:color w:val="FFFFFF"/>
              </w:rPr>
              <w:t>RA3</w:t>
            </w:r>
          </w:p>
        </w:tc>
        <w:tc>
          <w:tcPr>
            <w:tcW w:w="2835" w:type="dxa"/>
            <w:shd w:val="clear" w:color="auto" w:fill="0073CF"/>
          </w:tcPr>
          <w:p w:rsidR="00F91CB3" w:rsidRPr="00A40B29" w:rsidRDefault="00F91CB3" w:rsidP="002D0BB0">
            <w:pPr>
              <w:pStyle w:val="Healthtablebody"/>
              <w:rPr>
                <w:color w:val="FFFFFF"/>
              </w:rPr>
            </w:pPr>
            <w:r w:rsidRPr="00A40B29">
              <w:rPr>
                <w:color w:val="FFFFFF"/>
              </w:rPr>
              <w:t>Outer Regional Australia</w:t>
            </w:r>
          </w:p>
        </w:tc>
      </w:tr>
      <w:tr w:rsidR="00F91CB3" w:rsidRPr="00226DA2" w:rsidTr="002D0BB0">
        <w:tc>
          <w:tcPr>
            <w:tcW w:w="851" w:type="dxa"/>
            <w:shd w:val="clear" w:color="auto" w:fill="0073CF"/>
          </w:tcPr>
          <w:p w:rsidR="00F91CB3" w:rsidRPr="00A40B29" w:rsidRDefault="00F91CB3" w:rsidP="002D0BB0">
            <w:pPr>
              <w:pStyle w:val="Healthtablebody"/>
              <w:rPr>
                <w:color w:val="FFFFFF"/>
              </w:rPr>
            </w:pPr>
            <w:r w:rsidRPr="00A40B29">
              <w:rPr>
                <w:color w:val="FFFFFF"/>
              </w:rPr>
              <w:t>RA4</w:t>
            </w:r>
          </w:p>
        </w:tc>
        <w:tc>
          <w:tcPr>
            <w:tcW w:w="2835" w:type="dxa"/>
            <w:shd w:val="clear" w:color="auto" w:fill="0073CF"/>
          </w:tcPr>
          <w:p w:rsidR="00F91CB3" w:rsidRPr="00A40B29" w:rsidRDefault="00F91CB3" w:rsidP="002D0BB0">
            <w:pPr>
              <w:pStyle w:val="Healthtablebody"/>
              <w:rPr>
                <w:color w:val="FFFFFF"/>
              </w:rPr>
            </w:pPr>
            <w:r w:rsidRPr="00A40B29">
              <w:rPr>
                <w:color w:val="FFFFFF"/>
              </w:rPr>
              <w:t>Remote Australia</w:t>
            </w:r>
          </w:p>
        </w:tc>
      </w:tr>
      <w:tr w:rsidR="00F91CB3" w:rsidRPr="00226DA2" w:rsidTr="002D0BB0">
        <w:tc>
          <w:tcPr>
            <w:tcW w:w="851" w:type="dxa"/>
            <w:shd w:val="clear" w:color="auto" w:fill="0073CF"/>
          </w:tcPr>
          <w:p w:rsidR="00F91CB3" w:rsidRPr="00A40B29" w:rsidRDefault="00F91CB3" w:rsidP="002D0BB0">
            <w:pPr>
              <w:pStyle w:val="Healthtablebody"/>
              <w:rPr>
                <w:color w:val="FFFFFF"/>
              </w:rPr>
            </w:pPr>
            <w:r w:rsidRPr="00A40B29">
              <w:rPr>
                <w:color w:val="FFFFFF"/>
              </w:rPr>
              <w:t>RA5</w:t>
            </w:r>
          </w:p>
        </w:tc>
        <w:tc>
          <w:tcPr>
            <w:tcW w:w="2835" w:type="dxa"/>
            <w:shd w:val="clear" w:color="auto" w:fill="0073CF"/>
          </w:tcPr>
          <w:p w:rsidR="00F91CB3" w:rsidRPr="00A40B29" w:rsidRDefault="00F91CB3" w:rsidP="002D0BB0">
            <w:pPr>
              <w:pStyle w:val="Healthtablebody"/>
              <w:rPr>
                <w:color w:val="FFFFFF"/>
              </w:rPr>
            </w:pPr>
            <w:r w:rsidRPr="00A40B29">
              <w:rPr>
                <w:color w:val="FFFFFF"/>
              </w:rPr>
              <w:t>Very Remote Australia</w:t>
            </w:r>
          </w:p>
        </w:tc>
      </w:tr>
    </w:tbl>
    <w:p w:rsidR="00F91CB3" w:rsidRPr="00226DA2" w:rsidRDefault="00F91CB3" w:rsidP="00F91CB3">
      <w:pPr>
        <w:pStyle w:val="Healthbody"/>
        <w:spacing w:before="120"/>
      </w:pPr>
      <w:r w:rsidRPr="00226DA2">
        <w:t xml:space="preserve">RA2 and RA3 are </w:t>
      </w:r>
      <w:r>
        <w:t>r</w:t>
      </w:r>
      <w:r w:rsidRPr="00226DA2">
        <w:t>ural and are in scope for this report.</w:t>
      </w:r>
      <w:r>
        <w:t xml:space="preserve"> </w:t>
      </w:r>
      <w:r w:rsidRPr="00226DA2">
        <w:t xml:space="preserve">RA4 and RA5 are </w:t>
      </w:r>
      <w:r>
        <w:t>r</w:t>
      </w:r>
      <w:r w:rsidRPr="00226DA2">
        <w:t>emote and are in scope for this report.</w:t>
      </w:r>
    </w:p>
    <w:p w:rsidR="00F91CB3" w:rsidRDefault="00F91CB3" w:rsidP="00F91CB3">
      <w:pPr>
        <w:pStyle w:val="Healthbody"/>
      </w:pPr>
      <w:r w:rsidRPr="00226DA2">
        <w:t xml:space="preserve">The definitions can be found at: </w:t>
      </w:r>
      <w:hyperlink r:id="rId12" w:history="1">
        <w:r w:rsidRPr="00AB5511">
          <w:rPr>
            <w:rStyle w:val="Hyperlink"/>
          </w:rPr>
          <w:t>www.health.gov.au/internet/otd/publishing.nsf/content/ra-intro</w:t>
        </w:r>
      </w:hyperlink>
      <w:r>
        <w:t xml:space="preserve"> </w:t>
      </w:r>
    </w:p>
    <w:p w:rsidR="00F91CB3" w:rsidRPr="00226DA2" w:rsidRDefault="00F91CB3" w:rsidP="00F91CB3">
      <w:pPr>
        <w:pStyle w:val="Healthbody"/>
      </w:pPr>
      <w:r w:rsidRPr="00226DA2">
        <w:t>To find the classification for a specific locality, click on the above link and select ‘What is the RA classification of my locality?’</w:t>
      </w:r>
      <w:r>
        <w:t xml:space="preserve"> </w:t>
      </w:r>
      <w:r w:rsidRPr="00226DA2">
        <w:t>Click on the available link and enter the postcode for the locality.</w:t>
      </w:r>
    </w:p>
    <w:p w:rsidR="00F91CB3" w:rsidRPr="00226DA2" w:rsidRDefault="00F91CB3" w:rsidP="00F91CB3">
      <w:pPr>
        <w:pStyle w:val="Healthheading4"/>
      </w:pPr>
      <w:r w:rsidRPr="00226DA2">
        <w:t xml:space="preserve">Interprofessional </w:t>
      </w:r>
      <w:r>
        <w:t>l</w:t>
      </w:r>
      <w:r w:rsidRPr="00226DA2">
        <w:t xml:space="preserve">earning </w:t>
      </w:r>
    </w:p>
    <w:p w:rsidR="002A04CE" w:rsidRPr="00F91CB3" w:rsidRDefault="00F91CB3" w:rsidP="00F91CB3">
      <w:pPr>
        <w:pStyle w:val="Healthbody"/>
      </w:pPr>
      <w:r w:rsidRPr="00F91CB3">
        <w:t>Interprofessional education occurs when students from two or more professions learn about, from and with each other to enable effective collaboration and improve health outcome.</w:t>
      </w:r>
    </w:p>
    <w:p w:rsidR="00012FEF" w:rsidRPr="00F91CB3" w:rsidRDefault="00F91CB3" w:rsidP="00F91CB3">
      <w:pPr>
        <w:pStyle w:val="Healthheading2"/>
      </w:pPr>
      <w:r>
        <w:lastRenderedPageBreak/>
        <w:t>Executive s</w:t>
      </w:r>
      <w:r w:rsidR="00012FEF" w:rsidRPr="00F91CB3">
        <w:t>ummary</w:t>
      </w:r>
    </w:p>
    <w:p w:rsidR="00F83B3C" w:rsidRPr="00F91CB3" w:rsidRDefault="003303C4" w:rsidP="00F91CB3">
      <w:pPr>
        <w:pStyle w:val="Healthbody"/>
      </w:pPr>
      <w:r w:rsidRPr="00F91CB3">
        <w:t xml:space="preserve">The </w:t>
      </w:r>
      <w:r w:rsidR="00156231" w:rsidRPr="00F91CB3">
        <w:t>purpose</w:t>
      </w:r>
      <w:r w:rsidRPr="00F91CB3">
        <w:t xml:space="preserve"> of</w:t>
      </w:r>
      <w:r w:rsidR="0051115D" w:rsidRPr="00F91CB3">
        <w:t xml:space="preserve"> the</w:t>
      </w:r>
      <w:r w:rsidRPr="00F91CB3">
        <w:t xml:space="preserve"> </w:t>
      </w:r>
      <w:r w:rsidR="0051115D" w:rsidRPr="00F91CB3">
        <w:t>Simula</w:t>
      </w:r>
      <w:r w:rsidR="0022722F">
        <w:t>ted Learning Environment (SLE) i</w:t>
      </w:r>
      <w:r w:rsidR="0051115D" w:rsidRPr="00F91CB3">
        <w:t xml:space="preserve">ntegration </w:t>
      </w:r>
      <w:r w:rsidR="0022722F">
        <w:t>and</w:t>
      </w:r>
      <w:r w:rsidR="0051115D" w:rsidRPr="00F91CB3">
        <w:t xml:space="preserve"> </w:t>
      </w:r>
      <w:r w:rsidR="0022722F">
        <w:t>d</w:t>
      </w:r>
      <w:r w:rsidR="0051115D" w:rsidRPr="00F91CB3">
        <w:t xml:space="preserve">evelopment </w:t>
      </w:r>
      <w:r w:rsidR="0022722F">
        <w:t>p</w:t>
      </w:r>
      <w:r w:rsidR="0051115D" w:rsidRPr="00F91CB3">
        <w:t xml:space="preserve">roject for the Loddon Mallee </w:t>
      </w:r>
      <w:r w:rsidR="00436C73" w:rsidRPr="00F91CB3">
        <w:t xml:space="preserve">(LM) </w:t>
      </w:r>
      <w:r w:rsidR="0051115D" w:rsidRPr="00F91CB3">
        <w:t>region</w:t>
      </w:r>
      <w:r w:rsidR="00436C73" w:rsidRPr="00F91CB3">
        <w:t xml:space="preserve"> </w:t>
      </w:r>
      <w:r w:rsidRPr="00F91CB3">
        <w:t xml:space="preserve">was </w:t>
      </w:r>
      <w:r w:rsidR="0051115D" w:rsidRPr="00F91CB3">
        <w:t xml:space="preserve">to develop two integrated regional hubs in Bendigo and Mildura from which the SLE needs of the students who completed placements and </w:t>
      </w:r>
      <w:r w:rsidR="0057128F">
        <w:t xml:space="preserve">for </w:t>
      </w:r>
      <w:r w:rsidR="0051115D" w:rsidRPr="00F91CB3">
        <w:t>clinicians who delivered services and clinical supervision to professional</w:t>
      </w:r>
      <w:r w:rsidR="0022722F">
        <w:t>-</w:t>
      </w:r>
      <w:r w:rsidR="0051115D" w:rsidRPr="00F91CB3">
        <w:t>entry students</w:t>
      </w:r>
      <w:r w:rsidR="0057128F">
        <w:t xml:space="preserve">. </w:t>
      </w:r>
      <w:r w:rsidR="0051115D" w:rsidRPr="00F91CB3">
        <w:t>The project brought together Monash</w:t>
      </w:r>
      <w:r w:rsidR="00FD7867" w:rsidRPr="00F91CB3">
        <w:t xml:space="preserve"> University</w:t>
      </w:r>
      <w:r w:rsidR="0051115D" w:rsidRPr="00F91CB3">
        <w:t>’s Mildura and Bendigo Regional Clinical Schools</w:t>
      </w:r>
      <w:r w:rsidR="00F83B3C" w:rsidRPr="00F91CB3">
        <w:t xml:space="preserve"> and</w:t>
      </w:r>
      <w:r w:rsidR="0051115D" w:rsidRPr="00F91CB3">
        <w:t xml:space="preserve"> La Trobe University’s</w:t>
      </w:r>
      <w:r w:rsidR="0057128F">
        <w:t xml:space="preserve"> Rural Health School in Bendigo</w:t>
      </w:r>
      <w:r w:rsidR="0051115D" w:rsidRPr="00F91CB3">
        <w:t xml:space="preserve"> </w:t>
      </w:r>
      <w:r w:rsidRPr="00F91CB3">
        <w:t xml:space="preserve">to </w:t>
      </w:r>
      <w:r w:rsidR="0051115D" w:rsidRPr="00F91CB3">
        <w:t>develop and deliver a quality offering of clinical simulation</w:t>
      </w:r>
      <w:r w:rsidR="00F83B3C" w:rsidRPr="00F91CB3">
        <w:t xml:space="preserve"> options</w:t>
      </w:r>
      <w:r w:rsidR="0051115D" w:rsidRPr="00F91CB3">
        <w:t xml:space="preserve"> to medical, nursing, midwifery and physiotherapy students and clinicians during the project term</w:t>
      </w:r>
      <w:r w:rsidR="00F83B3C" w:rsidRPr="00F91CB3">
        <w:t>.</w:t>
      </w:r>
      <w:r w:rsidR="0051115D" w:rsidRPr="00F91CB3">
        <w:t xml:space="preserve"> </w:t>
      </w:r>
      <w:r w:rsidR="00F83B3C" w:rsidRPr="00F91CB3">
        <w:t>Bendigo Health supported the project as a partner by employing a project coordinator and Bendigo Regional Institute of TAFE served as a reference point to ensure the interests of the VET sector were appropriately catered for.</w:t>
      </w:r>
    </w:p>
    <w:p w:rsidR="00770988" w:rsidRPr="00F91CB3" w:rsidRDefault="00F83B3C" w:rsidP="00F91CB3">
      <w:pPr>
        <w:pStyle w:val="Healthbody"/>
      </w:pPr>
      <w:r w:rsidRPr="00F91CB3">
        <w:t>The project</w:t>
      </w:r>
      <w:r w:rsidR="00770988" w:rsidRPr="00F91CB3">
        <w:t xml:space="preserve"> partners</w:t>
      </w:r>
      <w:r w:rsidRPr="00F91CB3">
        <w:t xml:space="preserve"> delivered </w:t>
      </w:r>
      <w:r w:rsidR="00732ADF" w:rsidRPr="00F91CB3">
        <w:t>5</w:t>
      </w:r>
      <w:r w:rsidR="009339EC" w:rsidRPr="00F91CB3">
        <w:t>2</w:t>
      </w:r>
      <w:r w:rsidR="0022722F">
        <w:t xml:space="preserve"> </w:t>
      </w:r>
      <w:r w:rsidR="009339EC" w:rsidRPr="00F91CB3">
        <w:t>809</w:t>
      </w:r>
      <w:r w:rsidRPr="00F91CB3">
        <w:t xml:space="preserve"> hours of professional entry simulation hours to </w:t>
      </w:r>
      <w:r w:rsidR="009339EC" w:rsidRPr="00F91CB3">
        <w:t xml:space="preserve">2845 </w:t>
      </w:r>
      <w:r w:rsidRPr="00F91CB3">
        <w:t xml:space="preserve">students during the project period, which represents a </w:t>
      </w:r>
      <w:r w:rsidR="009339EC" w:rsidRPr="00F91CB3">
        <w:t>58</w:t>
      </w:r>
      <w:r w:rsidRPr="00F91CB3">
        <w:t>% increase in clinical simulation hours in the L</w:t>
      </w:r>
      <w:r w:rsidR="00436C73" w:rsidRPr="00F91CB3">
        <w:t>M</w:t>
      </w:r>
      <w:r w:rsidRPr="00F91CB3">
        <w:t xml:space="preserve"> region as a direct result of the project. </w:t>
      </w:r>
    </w:p>
    <w:p w:rsidR="00770988" w:rsidRPr="00F91CB3" w:rsidRDefault="00770988" w:rsidP="00F91CB3">
      <w:pPr>
        <w:pStyle w:val="Healthbody"/>
      </w:pPr>
      <w:r w:rsidRPr="00F91CB3">
        <w:t xml:space="preserve">In addition to this, the project partners committed to delivering up to four simulation days to </w:t>
      </w:r>
      <w:r w:rsidR="0057128F">
        <w:t>twenty</w:t>
      </w:r>
      <w:r w:rsidRPr="00F91CB3">
        <w:t xml:space="preserve"> health services throughout the L</w:t>
      </w:r>
      <w:r w:rsidR="00436C73" w:rsidRPr="00F91CB3">
        <w:t>M</w:t>
      </w:r>
      <w:r w:rsidRPr="00F91CB3">
        <w:t xml:space="preserve"> region. This served to reliably meet the needs of the regions clinical simulation education from the regional hubs rather than trying to resource and educate </w:t>
      </w:r>
      <w:r w:rsidR="0057128F">
        <w:t>twenty</w:t>
      </w:r>
      <w:r w:rsidRPr="00F91CB3">
        <w:t xml:space="preserve"> health services to deliver their own clinical simulation sessions. As a result</w:t>
      </w:r>
      <w:r w:rsidR="008D7CBC" w:rsidRPr="00F91CB3">
        <w:t>,</w:t>
      </w:r>
      <w:r w:rsidRPr="00F91CB3">
        <w:t xml:space="preserve"> the project partners delivered</w:t>
      </w:r>
      <w:r w:rsidR="00972E91" w:rsidRPr="00F91CB3">
        <w:t xml:space="preserve"> </w:t>
      </w:r>
      <w:r w:rsidR="009339EC" w:rsidRPr="00F91CB3">
        <w:t>6835</w:t>
      </w:r>
      <w:r w:rsidRPr="00F91CB3">
        <w:t xml:space="preserve"> hours of simulation </w:t>
      </w:r>
      <w:r w:rsidR="008D7CBC" w:rsidRPr="00F91CB3">
        <w:t>to</w:t>
      </w:r>
      <w:r w:rsidR="009339EC" w:rsidRPr="00F91CB3">
        <w:t>1570</w:t>
      </w:r>
      <w:r w:rsidRPr="00F91CB3">
        <w:t xml:space="preserve"> clinicians during the project period, which </w:t>
      </w:r>
      <w:r w:rsidR="00B05BA7" w:rsidRPr="00F91CB3">
        <w:t xml:space="preserve">introduced </w:t>
      </w:r>
      <w:r w:rsidRPr="00F91CB3">
        <w:t xml:space="preserve">clinical simulation </w:t>
      </w:r>
      <w:r w:rsidR="00B05BA7" w:rsidRPr="00F91CB3">
        <w:t xml:space="preserve">to </w:t>
      </w:r>
      <w:r w:rsidRPr="00F91CB3">
        <w:t>post graduate clinicians in the L</w:t>
      </w:r>
      <w:r w:rsidR="00436C73" w:rsidRPr="00F91CB3">
        <w:t>M</w:t>
      </w:r>
      <w:r w:rsidRPr="00F91CB3">
        <w:t xml:space="preserve"> region.</w:t>
      </w:r>
    </w:p>
    <w:p w:rsidR="0025014B" w:rsidRPr="00F91CB3" w:rsidRDefault="003303C4" w:rsidP="00F91CB3">
      <w:pPr>
        <w:pStyle w:val="Healthbody"/>
      </w:pPr>
      <w:r w:rsidRPr="00F91CB3">
        <w:t xml:space="preserve">The relationships built with </w:t>
      </w:r>
      <w:r w:rsidR="0025014B" w:rsidRPr="00F91CB3">
        <w:t xml:space="preserve">the </w:t>
      </w:r>
      <w:r w:rsidR="0057128F">
        <w:t>twenty</w:t>
      </w:r>
      <w:r w:rsidRPr="00F91CB3">
        <w:t xml:space="preserve"> </w:t>
      </w:r>
      <w:r w:rsidR="0025014B" w:rsidRPr="00F91CB3">
        <w:t>L</w:t>
      </w:r>
      <w:r w:rsidR="00436C73" w:rsidRPr="00F91CB3">
        <w:t xml:space="preserve">M </w:t>
      </w:r>
      <w:r w:rsidRPr="00F91CB3">
        <w:t>health service partners</w:t>
      </w:r>
      <w:r w:rsidR="00436C73" w:rsidRPr="00F91CB3">
        <w:t xml:space="preserve"> </w:t>
      </w:r>
      <w:r w:rsidRPr="00F91CB3">
        <w:t xml:space="preserve">and the strengthening of collaboration </w:t>
      </w:r>
      <w:r w:rsidR="0025014B" w:rsidRPr="00F91CB3">
        <w:t xml:space="preserve">within the </w:t>
      </w:r>
      <w:r w:rsidR="00436C73" w:rsidRPr="00F91CB3">
        <w:t>Clinical Placement Network (</w:t>
      </w:r>
      <w:r w:rsidR="00290F66" w:rsidRPr="00F91CB3">
        <w:t>CPN</w:t>
      </w:r>
      <w:r w:rsidR="00436C73" w:rsidRPr="00F91CB3">
        <w:t>)</w:t>
      </w:r>
      <w:r w:rsidR="00290F66" w:rsidRPr="00F91CB3">
        <w:t xml:space="preserve"> </w:t>
      </w:r>
      <w:r w:rsidR="0025014B" w:rsidRPr="00F91CB3">
        <w:t>is consistent with the purposes of the Integrated Regional Clinical Training Networks (IRCTN) initiative and the Victorian Government Department of Health’s SLE Strategic Plan</w:t>
      </w:r>
      <w:r w:rsidRPr="00F91CB3">
        <w:t xml:space="preserve">. </w:t>
      </w:r>
    </w:p>
    <w:p w:rsidR="003303C4" w:rsidRPr="00F91CB3" w:rsidRDefault="00FD7867" w:rsidP="00F91CB3">
      <w:pPr>
        <w:pStyle w:val="Healthbody"/>
      </w:pPr>
      <w:r w:rsidRPr="00F91CB3">
        <w:t>All clinical simulation delivered during the project period was evaluated</w:t>
      </w:r>
      <w:r w:rsidR="003303C4" w:rsidRPr="00F91CB3">
        <w:t xml:space="preserve"> </w:t>
      </w:r>
      <w:r w:rsidRPr="00F91CB3">
        <w:t xml:space="preserve">by participants on completion of the training received and results entered and </w:t>
      </w:r>
      <w:r w:rsidR="00187C48" w:rsidRPr="00F91CB3">
        <w:t>analy</w:t>
      </w:r>
      <w:r w:rsidR="001B009A" w:rsidRPr="00F91CB3">
        <w:t>s</w:t>
      </w:r>
      <w:r w:rsidR="00187C48" w:rsidRPr="00F91CB3">
        <w:t>ed</w:t>
      </w:r>
      <w:r w:rsidR="004A4357" w:rsidRPr="00F91CB3">
        <w:t xml:space="preserve"> with </w:t>
      </w:r>
      <w:r w:rsidR="00436C73" w:rsidRPr="00F91CB3">
        <w:t>Survey Monkey</w:t>
      </w:r>
      <w:r w:rsidR="002D1C15" w:rsidRPr="00F91CB3">
        <w:t>.</w:t>
      </w:r>
      <w:r w:rsidR="00436C73" w:rsidRPr="00F91CB3">
        <w:t xml:space="preserve"> </w:t>
      </w:r>
      <w:r w:rsidRPr="00F91CB3">
        <w:t xml:space="preserve">Evaluation results were reviewed by senior management and the education team at monthly intervals to ensure quality targets were met and maintained throughout the project period. The robust and ongoing nature of this evaluation and review is considered </w:t>
      </w:r>
      <w:r w:rsidR="00187C48" w:rsidRPr="00F91CB3">
        <w:t>a key strength</w:t>
      </w:r>
      <w:r w:rsidRPr="00F91CB3">
        <w:t xml:space="preserve"> of the project in </w:t>
      </w:r>
      <w:r w:rsidR="003303C4" w:rsidRPr="00F91CB3">
        <w:t>track</w:t>
      </w:r>
      <w:r w:rsidRPr="00F91CB3">
        <w:t>ing</w:t>
      </w:r>
      <w:r w:rsidR="003303C4" w:rsidRPr="00F91CB3">
        <w:t xml:space="preserve"> progress </w:t>
      </w:r>
      <w:r w:rsidR="00D33910" w:rsidRPr="00F91CB3">
        <w:t xml:space="preserve">and </w:t>
      </w:r>
      <w:r w:rsidRPr="00F91CB3">
        <w:t xml:space="preserve">implementing a continuous improvement approach </w:t>
      </w:r>
      <w:r w:rsidR="009A4F68" w:rsidRPr="00F91CB3">
        <w:t xml:space="preserve">to ensure </w:t>
      </w:r>
      <w:r w:rsidR="00D33910" w:rsidRPr="00F91CB3">
        <w:t xml:space="preserve">the </w:t>
      </w:r>
      <w:r w:rsidR="009A4F68" w:rsidRPr="00F91CB3">
        <w:t xml:space="preserve">quality and relevance of SLE </w:t>
      </w:r>
      <w:r w:rsidR="00D33910" w:rsidRPr="00F91CB3">
        <w:t xml:space="preserve">sessions, </w:t>
      </w:r>
      <w:r w:rsidR="003303C4" w:rsidRPr="00F91CB3">
        <w:t>scenario</w:t>
      </w:r>
      <w:r w:rsidR="00436C73" w:rsidRPr="00F91CB3">
        <w:t>s</w:t>
      </w:r>
      <w:r w:rsidR="003303C4" w:rsidRPr="00F91CB3">
        <w:t xml:space="preserve"> </w:t>
      </w:r>
      <w:r w:rsidR="009A4F68" w:rsidRPr="00F91CB3">
        <w:t xml:space="preserve">and </w:t>
      </w:r>
      <w:r w:rsidR="003303C4" w:rsidRPr="00F91CB3">
        <w:t xml:space="preserve">the curriculum </w:t>
      </w:r>
      <w:r w:rsidR="009A4F68" w:rsidRPr="00F91CB3">
        <w:t>in</w:t>
      </w:r>
      <w:r w:rsidR="003303C4" w:rsidRPr="00F91CB3">
        <w:t xml:space="preserve"> meeting identified needs.</w:t>
      </w:r>
    </w:p>
    <w:p w:rsidR="00CA3575" w:rsidRPr="00F91CB3" w:rsidRDefault="003303C4" w:rsidP="00F91CB3">
      <w:pPr>
        <w:pStyle w:val="Healthbody"/>
      </w:pPr>
      <w:r w:rsidRPr="00F91CB3">
        <w:t>A</w:t>
      </w:r>
      <w:r w:rsidR="00CA3575" w:rsidRPr="00F91CB3">
        <w:t>t the time of writing this final report, Health Workforce Australia (HWA) has funded a subsequent regional SLE collaborative program in the L</w:t>
      </w:r>
      <w:r w:rsidR="00436C73" w:rsidRPr="00F91CB3">
        <w:t>M</w:t>
      </w:r>
      <w:r w:rsidR="00CA3575" w:rsidRPr="00F91CB3">
        <w:t xml:space="preserve"> region with an 80:20 professional entry clinical student to postgraduate</w:t>
      </w:r>
      <w:r w:rsidRPr="00F91CB3">
        <w:t xml:space="preserve"> model</w:t>
      </w:r>
      <w:r w:rsidR="00CA3575" w:rsidRPr="00F91CB3">
        <w:t>.</w:t>
      </w:r>
      <w:r w:rsidRPr="00F91CB3">
        <w:t xml:space="preserve"> </w:t>
      </w:r>
      <w:r w:rsidR="00337CAE" w:rsidRPr="00F91CB3">
        <w:t>This continued investment will see projected increases comparable to those achieved during this project.</w:t>
      </w:r>
    </w:p>
    <w:p w:rsidR="00337CAE" w:rsidRPr="00F91CB3" w:rsidRDefault="00337CAE" w:rsidP="00F91CB3">
      <w:pPr>
        <w:pStyle w:val="Healthbody"/>
      </w:pPr>
      <w:r w:rsidRPr="00F91CB3">
        <w:t>However, with sustainability at the forefront of the project partner’s considerations throughout the project</w:t>
      </w:r>
      <w:r w:rsidR="00436C73" w:rsidRPr="00F91CB3">
        <w:t>,</w:t>
      </w:r>
      <w:r w:rsidRPr="00F91CB3">
        <w:t xml:space="preserve"> the following amendments to the business model will be made:</w:t>
      </w:r>
    </w:p>
    <w:p w:rsidR="00337CAE" w:rsidRPr="00F91CB3" w:rsidRDefault="00337CAE" w:rsidP="00F91CB3">
      <w:pPr>
        <w:pStyle w:val="Healthbullet1"/>
      </w:pPr>
      <w:r w:rsidRPr="00F91CB3">
        <w:t>E</w:t>
      </w:r>
      <w:r w:rsidR="008C51FD" w:rsidRPr="00F91CB3">
        <w:t xml:space="preserve">ach </w:t>
      </w:r>
      <w:r w:rsidR="00215459" w:rsidRPr="00F91CB3">
        <w:t xml:space="preserve">of the </w:t>
      </w:r>
      <w:r w:rsidR="00436C73" w:rsidRPr="00F91CB3">
        <w:t>h</w:t>
      </w:r>
      <w:r w:rsidR="00CA3575" w:rsidRPr="00F91CB3">
        <w:t xml:space="preserve">igher </w:t>
      </w:r>
      <w:r w:rsidR="00436C73" w:rsidRPr="00F91CB3">
        <w:t>e</w:t>
      </w:r>
      <w:r w:rsidR="00CA3575" w:rsidRPr="00F91CB3">
        <w:t xml:space="preserve">ducation </w:t>
      </w:r>
      <w:r w:rsidR="0025014B" w:rsidRPr="00F91CB3">
        <w:t>p</w:t>
      </w:r>
      <w:r w:rsidR="00CA3575" w:rsidRPr="00F91CB3">
        <w:t>artner</w:t>
      </w:r>
      <w:r w:rsidR="0025014B" w:rsidRPr="00F91CB3">
        <w:t>s</w:t>
      </w:r>
      <w:r w:rsidR="00CA3575" w:rsidRPr="00F91CB3">
        <w:t xml:space="preserve"> </w:t>
      </w:r>
      <w:r w:rsidR="008C51FD" w:rsidRPr="00F91CB3">
        <w:t>ha</w:t>
      </w:r>
      <w:r w:rsidR="0025014B" w:rsidRPr="00F91CB3">
        <w:t>ve</w:t>
      </w:r>
      <w:r w:rsidR="008C51FD" w:rsidRPr="00F91CB3">
        <w:t xml:space="preserve"> </w:t>
      </w:r>
      <w:r w:rsidR="00185FCC" w:rsidRPr="00F91CB3">
        <w:t>agreed</w:t>
      </w:r>
      <w:r w:rsidR="008C51FD" w:rsidRPr="00F91CB3">
        <w:t xml:space="preserve"> to </w:t>
      </w:r>
      <w:r w:rsidR="00185FCC" w:rsidRPr="00F91CB3">
        <w:t>coordinate</w:t>
      </w:r>
      <w:r w:rsidR="008C51FD" w:rsidRPr="00F91CB3">
        <w:t xml:space="preserve"> </w:t>
      </w:r>
      <w:r w:rsidR="00185FCC" w:rsidRPr="00F91CB3">
        <w:t>their</w:t>
      </w:r>
      <w:r w:rsidR="008C51FD" w:rsidRPr="00F91CB3">
        <w:t xml:space="preserve"> </w:t>
      </w:r>
      <w:r w:rsidR="00CA3575" w:rsidRPr="00F91CB3">
        <w:t>own in</w:t>
      </w:r>
      <w:r w:rsidR="0057128F">
        <w:t>-</w:t>
      </w:r>
      <w:r w:rsidR="00CA3575" w:rsidRPr="00F91CB3">
        <w:t xml:space="preserve">house </w:t>
      </w:r>
      <w:r w:rsidR="008C51FD" w:rsidRPr="00F91CB3">
        <w:t>simulation</w:t>
      </w:r>
      <w:r w:rsidR="00215459" w:rsidRPr="00F91CB3">
        <w:t xml:space="preserve"> session bookings</w:t>
      </w:r>
      <w:r w:rsidR="008C51FD" w:rsidRPr="00F91CB3">
        <w:t xml:space="preserve"> </w:t>
      </w:r>
      <w:r w:rsidR="00185FCC" w:rsidRPr="00F91CB3">
        <w:t>into</w:t>
      </w:r>
      <w:r w:rsidR="008C51FD" w:rsidRPr="00F91CB3">
        <w:t xml:space="preserve"> </w:t>
      </w:r>
      <w:r w:rsidR="00185FCC" w:rsidRPr="00F91CB3">
        <w:t>the</w:t>
      </w:r>
      <w:r w:rsidR="008C51FD" w:rsidRPr="00F91CB3">
        <w:t xml:space="preserve"> </w:t>
      </w:r>
      <w:r w:rsidR="00185FCC" w:rsidRPr="00F91CB3">
        <w:t xml:space="preserve">future and utilise the </w:t>
      </w:r>
      <w:proofErr w:type="spellStart"/>
      <w:r w:rsidR="0057128F">
        <w:t>SimBook</w:t>
      </w:r>
      <w:proofErr w:type="spellEnd"/>
      <w:r w:rsidR="00185FCC" w:rsidRPr="00F91CB3">
        <w:t xml:space="preserve"> website</w:t>
      </w:r>
      <w:r w:rsidR="0025014B" w:rsidRPr="00F91CB3">
        <w:t xml:space="preserve"> developed</w:t>
      </w:r>
      <w:r w:rsidR="00185FCC" w:rsidRPr="00F91CB3">
        <w:t xml:space="preserve"> for the LM region</w:t>
      </w:r>
      <w:r w:rsidR="0025014B" w:rsidRPr="00F91CB3">
        <w:t xml:space="preserve"> to manage simulation education session space</w:t>
      </w:r>
      <w:r w:rsidR="00215459" w:rsidRPr="00F91CB3">
        <w:t>s</w:t>
      </w:r>
      <w:r w:rsidR="0025014B" w:rsidRPr="00F91CB3">
        <w:t xml:space="preserve"> and training bookings</w:t>
      </w:r>
      <w:r w:rsidR="00185FCC" w:rsidRPr="00F91CB3">
        <w:t>.</w:t>
      </w:r>
      <w:r w:rsidR="008C51FD" w:rsidRPr="00F91CB3">
        <w:t xml:space="preserve"> </w:t>
      </w:r>
      <w:r w:rsidRPr="00F91CB3">
        <w:t>This reduces the need for a 1</w:t>
      </w:r>
      <w:r w:rsidR="0057128F">
        <w:t xml:space="preserve">.0 </w:t>
      </w:r>
      <w:r w:rsidRPr="00F91CB3">
        <w:t xml:space="preserve">FTE </w:t>
      </w:r>
      <w:r w:rsidR="0025014B" w:rsidRPr="00F91CB3">
        <w:t xml:space="preserve">coordinator </w:t>
      </w:r>
      <w:r w:rsidRPr="00F91CB3">
        <w:t>position</w:t>
      </w:r>
      <w:r w:rsidR="00187C48" w:rsidRPr="00F91CB3">
        <w:t xml:space="preserve"> to 0.5</w:t>
      </w:r>
      <w:r w:rsidR="0057128F">
        <w:t xml:space="preserve"> </w:t>
      </w:r>
      <w:r w:rsidR="00187C48" w:rsidRPr="00F91CB3">
        <w:t>FTE</w:t>
      </w:r>
      <w:r w:rsidRPr="00F91CB3">
        <w:t>.</w:t>
      </w:r>
    </w:p>
    <w:p w:rsidR="0025014B" w:rsidRPr="00F91CB3" w:rsidRDefault="0025014B" w:rsidP="00F91CB3">
      <w:pPr>
        <w:pStyle w:val="Healthbullet1"/>
      </w:pPr>
      <w:r w:rsidRPr="00F91CB3">
        <w:t>VET sector education providers will continue to deliver their simulation training as part of their regular training program at no additional cost</w:t>
      </w:r>
      <w:r w:rsidR="00215459" w:rsidRPr="00F91CB3">
        <w:t xml:space="preserve"> to the delivery</w:t>
      </w:r>
      <w:r w:rsidRPr="00F91CB3">
        <w:t>.</w:t>
      </w:r>
    </w:p>
    <w:p w:rsidR="0025014B" w:rsidRPr="00F91CB3" w:rsidRDefault="0025014B" w:rsidP="00F91CB3">
      <w:pPr>
        <w:pStyle w:val="Healthbullet1"/>
      </w:pPr>
      <w:r w:rsidRPr="00F91CB3">
        <w:t>Health services will contribute towards the training of post graduate health professionals on a cost</w:t>
      </w:r>
      <w:r w:rsidR="0057128F">
        <w:t>-</w:t>
      </w:r>
      <w:r w:rsidRPr="00F91CB3">
        <w:t>recovery basis in 2013</w:t>
      </w:r>
      <w:r w:rsidR="00187C48" w:rsidRPr="00F91CB3">
        <w:t xml:space="preserve"> and beyond</w:t>
      </w:r>
      <w:r w:rsidRPr="00F91CB3">
        <w:t>.</w:t>
      </w:r>
    </w:p>
    <w:p w:rsidR="00337CAE" w:rsidRPr="00F91CB3" w:rsidRDefault="0025014B" w:rsidP="00F91CB3">
      <w:pPr>
        <w:pStyle w:val="Healthbullet1"/>
      </w:pPr>
      <w:r w:rsidRPr="00F91CB3">
        <w:t xml:space="preserve">Health services will access the regional hub simulation labs on an </w:t>
      </w:r>
      <w:r w:rsidR="00187C48" w:rsidRPr="00F91CB3">
        <w:t>in-reach</w:t>
      </w:r>
      <w:r w:rsidRPr="00F91CB3">
        <w:t xml:space="preserve"> basis to reduce travel and accommodation costs associated with outreach services, or they will cover these costs themselves if an outreach model </w:t>
      </w:r>
      <w:r w:rsidR="00187C48" w:rsidRPr="00F91CB3">
        <w:t>is their</w:t>
      </w:r>
      <w:r w:rsidRPr="00F91CB3">
        <w:t xml:space="preserve"> preferred</w:t>
      </w:r>
      <w:r w:rsidR="00187C48" w:rsidRPr="00F91CB3">
        <w:t xml:space="preserve"> option</w:t>
      </w:r>
      <w:r w:rsidRPr="00F91CB3">
        <w:t>.</w:t>
      </w:r>
    </w:p>
    <w:p w:rsidR="00631455" w:rsidRPr="00F91CB3" w:rsidRDefault="00337CAE" w:rsidP="00F91CB3">
      <w:pPr>
        <w:pStyle w:val="Healthbullet1lastline"/>
      </w:pPr>
      <w:r w:rsidRPr="00F91CB3">
        <w:t xml:space="preserve">It is this </w:t>
      </w:r>
      <w:r w:rsidR="00000094" w:rsidRPr="00F91CB3">
        <w:t>self-sufficiency</w:t>
      </w:r>
      <w:r w:rsidRPr="00F91CB3">
        <w:t xml:space="preserve"> and lean business model which will deliver sustainability into the future.</w:t>
      </w:r>
    </w:p>
    <w:p w:rsidR="008C7122" w:rsidRPr="00F91CB3" w:rsidRDefault="00F91CB3" w:rsidP="00F91CB3">
      <w:pPr>
        <w:pStyle w:val="Healthheading2"/>
      </w:pPr>
      <w:r w:rsidRPr="00F91CB3">
        <w:t>Background and c</w:t>
      </w:r>
      <w:r w:rsidR="00726D14" w:rsidRPr="00F91CB3">
        <w:t>ontext</w:t>
      </w:r>
    </w:p>
    <w:p w:rsidR="0000684A" w:rsidRPr="00F91CB3" w:rsidRDefault="00CB6A55" w:rsidP="00F91CB3">
      <w:pPr>
        <w:pStyle w:val="Healthbody"/>
      </w:pPr>
      <w:r w:rsidRPr="00F91CB3">
        <w:t xml:space="preserve">The </w:t>
      </w:r>
      <w:r w:rsidR="0057128F">
        <w:t>SLE i</w:t>
      </w:r>
      <w:r w:rsidRPr="00F91CB3">
        <w:t xml:space="preserve">ntegration </w:t>
      </w:r>
      <w:r w:rsidR="0057128F">
        <w:t>and</w:t>
      </w:r>
      <w:r w:rsidRPr="00F91CB3">
        <w:t xml:space="preserve"> </w:t>
      </w:r>
      <w:r w:rsidR="0057128F">
        <w:t>d</w:t>
      </w:r>
      <w:r w:rsidRPr="00F91CB3">
        <w:t xml:space="preserve">evelopment </w:t>
      </w:r>
      <w:r w:rsidR="0057128F">
        <w:t>p</w:t>
      </w:r>
      <w:r w:rsidRPr="00F91CB3">
        <w:t xml:space="preserve">roject </w:t>
      </w:r>
      <w:r w:rsidR="000F79D4" w:rsidRPr="00F91CB3">
        <w:t>wa</w:t>
      </w:r>
      <w:r w:rsidRPr="00F91CB3">
        <w:t xml:space="preserve">s </w:t>
      </w:r>
      <w:r w:rsidR="0000684A" w:rsidRPr="00F91CB3">
        <w:t>developed in response to an SL</w:t>
      </w:r>
      <w:r w:rsidR="00187C48" w:rsidRPr="00F91CB3">
        <w:t>E</w:t>
      </w:r>
      <w:r w:rsidR="0000684A" w:rsidRPr="00F91CB3">
        <w:t xml:space="preserve"> needs analysis of the region which took into consideration the equipment, educator skill set and critical masses required to establish and maintain simulation resources to adequately </w:t>
      </w:r>
      <w:r w:rsidR="00187C48" w:rsidRPr="00F91CB3">
        <w:t>service</w:t>
      </w:r>
      <w:r w:rsidR="0000684A" w:rsidRPr="00F91CB3">
        <w:t xml:space="preserve"> the entire region. Through this process it was identified </w:t>
      </w:r>
      <w:r w:rsidR="00187C48" w:rsidRPr="00F91CB3">
        <w:t>that the</w:t>
      </w:r>
      <w:r w:rsidR="0000684A" w:rsidRPr="00F91CB3">
        <w:t xml:space="preserve"> critical mass of professional</w:t>
      </w:r>
      <w:r w:rsidR="0057128F">
        <w:t>-</w:t>
      </w:r>
      <w:r w:rsidR="0000684A" w:rsidRPr="00F91CB3">
        <w:t>entry students, clinicians and educators resided in the two regional centres</w:t>
      </w:r>
      <w:r w:rsidR="00631455" w:rsidRPr="00F91CB3">
        <w:t>:</w:t>
      </w:r>
      <w:r w:rsidR="0057128F">
        <w:t xml:space="preserve"> </w:t>
      </w:r>
      <w:r w:rsidRPr="00F91CB3">
        <w:t xml:space="preserve">Mildura and Bendigo. </w:t>
      </w:r>
      <w:r w:rsidR="0000684A" w:rsidRPr="00F91CB3">
        <w:t>As a result</w:t>
      </w:r>
      <w:r w:rsidR="00F70A72" w:rsidRPr="00F91CB3">
        <w:t>,</w:t>
      </w:r>
      <w:r w:rsidR="0000684A" w:rsidRPr="00F91CB3">
        <w:t xml:space="preserve"> it was decided that the most sustainable </w:t>
      </w:r>
      <w:r w:rsidR="00187C48" w:rsidRPr="00F91CB3">
        <w:t>model</w:t>
      </w:r>
      <w:r w:rsidR="0000684A" w:rsidRPr="00F91CB3">
        <w:t xml:space="preserve"> would be to establish the SLE resources in these two regional hubs and then service the region on an outreach and in</w:t>
      </w:r>
      <w:r w:rsidR="0057128F">
        <w:t>-</w:t>
      </w:r>
      <w:r w:rsidR="0000684A" w:rsidRPr="00F91CB3">
        <w:t>reach basis.</w:t>
      </w:r>
    </w:p>
    <w:p w:rsidR="004E52A7" w:rsidRPr="00F91CB3" w:rsidRDefault="004E52A7" w:rsidP="00F91CB3">
      <w:pPr>
        <w:pStyle w:val="Healthbody"/>
      </w:pPr>
      <w:r w:rsidRPr="00F91CB3">
        <w:t xml:space="preserve">The Mildura </w:t>
      </w:r>
      <w:r w:rsidR="00F70A72" w:rsidRPr="00F91CB3">
        <w:t>h</w:t>
      </w:r>
      <w:r w:rsidRPr="00F91CB3">
        <w:t xml:space="preserve">ub had an established SLE </w:t>
      </w:r>
      <w:r w:rsidR="0057128F">
        <w:t>c</w:t>
      </w:r>
      <w:r w:rsidRPr="00F91CB3">
        <w:t xml:space="preserve">entre </w:t>
      </w:r>
      <w:r w:rsidR="00187C48" w:rsidRPr="00F91CB3">
        <w:t xml:space="preserve">but </w:t>
      </w:r>
      <w:r w:rsidR="00215459" w:rsidRPr="00F91CB3">
        <w:t xml:space="preserve">identified </w:t>
      </w:r>
      <w:r w:rsidR="00187C48" w:rsidRPr="00F91CB3">
        <w:t>gaps in equipment resources</w:t>
      </w:r>
      <w:r w:rsidR="00215459" w:rsidRPr="00F91CB3">
        <w:t>.</w:t>
      </w:r>
      <w:r w:rsidR="00187C48" w:rsidRPr="00F91CB3">
        <w:t xml:space="preserve"> </w:t>
      </w:r>
      <w:r w:rsidR="00215459" w:rsidRPr="00F91CB3">
        <w:t>T</w:t>
      </w:r>
      <w:r w:rsidRPr="00F91CB3">
        <w:t xml:space="preserve">he SLE capital and establishment fund enabled the Monash Bendigo </w:t>
      </w:r>
      <w:r w:rsidR="00F70A72" w:rsidRPr="00F91CB3">
        <w:t>h</w:t>
      </w:r>
      <w:r w:rsidRPr="00F91CB3">
        <w:t>ub to build, fit</w:t>
      </w:r>
      <w:r w:rsidR="0057128F">
        <w:t>-</w:t>
      </w:r>
      <w:r w:rsidRPr="00F91CB3">
        <w:t>out and resource a state</w:t>
      </w:r>
      <w:r w:rsidR="00EF35A2">
        <w:t>-</w:t>
      </w:r>
      <w:r w:rsidRPr="00F91CB3">
        <w:t>of</w:t>
      </w:r>
      <w:r w:rsidR="00EF35A2">
        <w:t>-</w:t>
      </w:r>
      <w:r w:rsidRPr="00F91CB3">
        <w:t>the</w:t>
      </w:r>
      <w:r w:rsidR="00EF35A2">
        <w:t>-</w:t>
      </w:r>
      <w:r w:rsidRPr="00F91CB3">
        <w:t xml:space="preserve">art </w:t>
      </w:r>
      <w:r w:rsidR="00EF35A2">
        <w:t>c</w:t>
      </w:r>
      <w:r w:rsidRPr="00F91CB3">
        <w:t xml:space="preserve">linical </w:t>
      </w:r>
      <w:r w:rsidR="00EF35A2">
        <w:t>s</w:t>
      </w:r>
      <w:r w:rsidRPr="00F91CB3">
        <w:t xml:space="preserve">kills and </w:t>
      </w:r>
      <w:r w:rsidR="00EF35A2">
        <w:t>s</w:t>
      </w:r>
      <w:r w:rsidRPr="00F91CB3">
        <w:t xml:space="preserve">imulation </w:t>
      </w:r>
      <w:r w:rsidR="00EF35A2">
        <w:t>c</w:t>
      </w:r>
      <w:r w:rsidRPr="00F91CB3">
        <w:t>entre. L</w:t>
      </w:r>
      <w:r w:rsidR="00187C48" w:rsidRPr="00F91CB3">
        <w:t>a</w:t>
      </w:r>
      <w:r w:rsidRPr="00F91CB3">
        <w:t xml:space="preserve"> Trobe was in the process of building its own </w:t>
      </w:r>
      <w:r w:rsidR="00215459" w:rsidRPr="00F91CB3">
        <w:t xml:space="preserve">clinical placement building with </w:t>
      </w:r>
      <w:r w:rsidRPr="00F91CB3">
        <w:t xml:space="preserve">SLE facilities on </w:t>
      </w:r>
      <w:r w:rsidR="00215459" w:rsidRPr="00F91CB3">
        <w:t xml:space="preserve">the Bendigo Health Education and Research Precinct </w:t>
      </w:r>
      <w:r w:rsidRPr="00F91CB3">
        <w:t xml:space="preserve">site and </w:t>
      </w:r>
      <w:r w:rsidR="00187C48" w:rsidRPr="00F91CB3">
        <w:t xml:space="preserve">had a need for equipment resources </w:t>
      </w:r>
      <w:r w:rsidR="00900492" w:rsidRPr="00F91CB3">
        <w:t>this need</w:t>
      </w:r>
      <w:r w:rsidRPr="00F91CB3">
        <w:t xml:space="preserve"> was </w:t>
      </w:r>
      <w:r w:rsidR="00900492" w:rsidRPr="00F91CB3">
        <w:t xml:space="preserve">met </w:t>
      </w:r>
      <w:r w:rsidRPr="00F91CB3">
        <w:t xml:space="preserve">by the capital and establishment program. </w:t>
      </w:r>
    </w:p>
    <w:p w:rsidR="004E52A7" w:rsidRPr="00F91CB3" w:rsidRDefault="004E52A7" w:rsidP="00F91CB3">
      <w:pPr>
        <w:pStyle w:val="Healthbody"/>
      </w:pPr>
      <w:r w:rsidRPr="00F91CB3">
        <w:t>Monash</w:t>
      </w:r>
      <w:r w:rsidR="00900492" w:rsidRPr="00F91CB3">
        <w:t>’s</w:t>
      </w:r>
      <w:r w:rsidRPr="00F91CB3">
        <w:t xml:space="preserve"> </w:t>
      </w:r>
      <w:r w:rsidR="00215459" w:rsidRPr="00F91CB3">
        <w:t>School</w:t>
      </w:r>
      <w:r w:rsidR="00900492" w:rsidRPr="00F91CB3">
        <w:t>s</w:t>
      </w:r>
      <w:r w:rsidR="00215459" w:rsidRPr="00F91CB3">
        <w:t xml:space="preserve"> of Rural Health</w:t>
      </w:r>
      <w:r w:rsidR="00EF35A2">
        <w:t xml:space="preserve"> (</w:t>
      </w:r>
      <w:r w:rsidRPr="00F91CB3">
        <w:t>Mildura</w:t>
      </w:r>
      <w:r w:rsidR="00EF35A2">
        <w:t xml:space="preserve"> and</w:t>
      </w:r>
      <w:r w:rsidR="00900492" w:rsidRPr="00F91CB3">
        <w:t xml:space="preserve"> </w:t>
      </w:r>
      <w:r w:rsidRPr="00F91CB3">
        <w:t>Bendigo</w:t>
      </w:r>
      <w:r w:rsidR="00EF35A2">
        <w:t>)</w:t>
      </w:r>
      <w:r w:rsidRPr="00F91CB3">
        <w:t xml:space="preserve"> and La</w:t>
      </w:r>
      <w:r w:rsidR="002407EC" w:rsidRPr="00F91CB3">
        <w:t xml:space="preserve"> </w:t>
      </w:r>
      <w:r w:rsidRPr="00F91CB3">
        <w:t xml:space="preserve">Trobe’s School of Rural Health </w:t>
      </w:r>
      <w:r w:rsidR="0000684A" w:rsidRPr="00F91CB3">
        <w:t xml:space="preserve">Bendigo </w:t>
      </w:r>
      <w:r w:rsidRPr="00F91CB3">
        <w:t>s</w:t>
      </w:r>
      <w:r w:rsidR="0000684A" w:rsidRPr="00F91CB3">
        <w:t xml:space="preserve">et about delivering SLE education to their own </w:t>
      </w:r>
      <w:r w:rsidRPr="00F91CB3">
        <w:t xml:space="preserve">enrolled </w:t>
      </w:r>
      <w:r w:rsidR="0000684A" w:rsidRPr="00F91CB3">
        <w:t>students three days a week</w:t>
      </w:r>
      <w:r w:rsidR="00024663" w:rsidRPr="00F91CB3">
        <w:t xml:space="preserve"> with the new resources,</w:t>
      </w:r>
      <w:r w:rsidR="0000684A" w:rsidRPr="00F91CB3">
        <w:t xml:space="preserve"> while providing outreach SL</w:t>
      </w:r>
      <w:r w:rsidR="00024663" w:rsidRPr="00F91CB3">
        <w:t>E</w:t>
      </w:r>
      <w:r w:rsidR="0000684A" w:rsidRPr="00F91CB3">
        <w:t xml:space="preserve"> education in the region one day a week and </w:t>
      </w:r>
      <w:r w:rsidRPr="00F91CB3">
        <w:t>ma</w:t>
      </w:r>
      <w:r w:rsidR="00F70A72" w:rsidRPr="00F91CB3">
        <w:t>king</w:t>
      </w:r>
      <w:r w:rsidRPr="00F91CB3">
        <w:t xml:space="preserve"> the SLE facilities available </w:t>
      </w:r>
      <w:r w:rsidR="00024663" w:rsidRPr="00F91CB3">
        <w:t xml:space="preserve">to local health services </w:t>
      </w:r>
      <w:r w:rsidRPr="00F91CB3">
        <w:t>the remaining one day a week</w:t>
      </w:r>
      <w:r w:rsidR="00024663" w:rsidRPr="00F91CB3">
        <w:t xml:space="preserve"> on an </w:t>
      </w:r>
      <w:r w:rsidR="0057128F">
        <w:t>in-reach</w:t>
      </w:r>
      <w:r w:rsidR="00024663" w:rsidRPr="00F91CB3">
        <w:t xml:space="preserve"> basis</w:t>
      </w:r>
      <w:r w:rsidRPr="00F91CB3">
        <w:t>.</w:t>
      </w:r>
      <w:r w:rsidR="0000684A" w:rsidRPr="00F91CB3">
        <w:t xml:space="preserve"> </w:t>
      </w:r>
      <w:r w:rsidRPr="00F91CB3">
        <w:t>This commitment from La</w:t>
      </w:r>
      <w:r w:rsidR="00F70A72" w:rsidRPr="00F91CB3">
        <w:t xml:space="preserve"> T</w:t>
      </w:r>
      <w:r w:rsidRPr="00F91CB3">
        <w:t>robe and Monash to deliver two days per week each (</w:t>
      </w:r>
      <w:r w:rsidR="00EF35A2">
        <w:t>four</w:t>
      </w:r>
      <w:r w:rsidRPr="00F91CB3">
        <w:t xml:space="preserve"> in total) of SLE training to health services throughout the region</w:t>
      </w:r>
      <w:r w:rsidR="00024663" w:rsidRPr="00F91CB3">
        <w:t xml:space="preserve"> was the basis on which the region w</w:t>
      </w:r>
      <w:r w:rsidR="00F70A72" w:rsidRPr="00F91CB3">
        <w:t>as</w:t>
      </w:r>
      <w:r w:rsidR="00024663" w:rsidRPr="00F91CB3">
        <w:t xml:space="preserve"> happy to support a region</w:t>
      </w:r>
      <w:r w:rsidR="00F70A72" w:rsidRPr="00F91CB3">
        <w:t>-</w:t>
      </w:r>
      <w:r w:rsidR="00024663" w:rsidRPr="00F91CB3">
        <w:t xml:space="preserve">wide SLE project approach as </w:t>
      </w:r>
      <w:r w:rsidR="0073566E" w:rsidRPr="00F91CB3">
        <w:t>distinct</w:t>
      </w:r>
      <w:r w:rsidR="00024663" w:rsidRPr="00F91CB3">
        <w:t xml:space="preserve"> from seeking as many resources for themselves as possible</w:t>
      </w:r>
      <w:r w:rsidRPr="00F91CB3">
        <w:t>.</w:t>
      </w:r>
    </w:p>
    <w:p w:rsidR="00631455" w:rsidRPr="00F91CB3" w:rsidRDefault="00CB6A55" w:rsidP="00F91CB3">
      <w:pPr>
        <w:pStyle w:val="Healthbody"/>
      </w:pPr>
      <w:r w:rsidRPr="00F91CB3">
        <w:t>Concurrently</w:t>
      </w:r>
      <w:r w:rsidR="00631455" w:rsidRPr="00F91CB3">
        <w:t xml:space="preserve">, the </w:t>
      </w:r>
      <w:r w:rsidR="00364ABC">
        <w:t>LM CPN</w:t>
      </w:r>
      <w:r w:rsidRPr="00F91CB3">
        <w:t xml:space="preserve"> Governance Committee work</w:t>
      </w:r>
      <w:r w:rsidR="000F79D4" w:rsidRPr="00F91CB3">
        <w:t>ed</w:t>
      </w:r>
      <w:r w:rsidRPr="00F91CB3">
        <w:t xml:space="preserve"> with the Senior Management Committee to embed sustainable and efficient processes that </w:t>
      </w:r>
      <w:r w:rsidR="004E52A7" w:rsidRPr="00F91CB3">
        <w:t xml:space="preserve">could </w:t>
      </w:r>
      <w:r w:rsidRPr="00F91CB3">
        <w:t>be replicated throughout the region.</w:t>
      </w:r>
    </w:p>
    <w:p w:rsidR="006A4CCF" w:rsidRPr="00F91CB3" w:rsidRDefault="00934718" w:rsidP="00F91CB3">
      <w:pPr>
        <w:pStyle w:val="Healthbody"/>
      </w:pPr>
      <w:r w:rsidRPr="00F91CB3">
        <w:t>With respect to the capital works</w:t>
      </w:r>
      <w:r w:rsidR="00631455" w:rsidRPr="00F91CB3">
        <w:t>’</w:t>
      </w:r>
      <w:r w:rsidRPr="00F91CB3">
        <w:t xml:space="preserve"> build at Monash Bendigo, </w:t>
      </w:r>
      <w:r w:rsidR="00631455" w:rsidRPr="00F91CB3">
        <w:t>a</w:t>
      </w:r>
      <w:r w:rsidRPr="00F91CB3">
        <w:t xml:space="preserve"> Project Control Group consisting of representatives from Monash, Bendigo Health Care Group and an </w:t>
      </w:r>
      <w:r w:rsidR="00631455" w:rsidRPr="00F91CB3">
        <w:t>a</w:t>
      </w:r>
      <w:r w:rsidRPr="00F91CB3">
        <w:t>rchitect</w:t>
      </w:r>
      <w:r w:rsidR="00631455" w:rsidRPr="00F91CB3">
        <w:t>ural</w:t>
      </w:r>
      <w:r w:rsidRPr="00F91CB3">
        <w:t xml:space="preserve"> </w:t>
      </w:r>
      <w:r w:rsidR="00D75FBB" w:rsidRPr="00F91CB3">
        <w:t xml:space="preserve">firm </w:t>
      </w:r>
      <w:r w:rsidRPr="00F91CB3">
        <w:t>met on a monthly basis</w:t>
      </w:r>
      <w:r w:rsidR="00F70A72" w:rsidRPr="00F91CB3">
        <w:t xml:space="preserve"> to manage the building project</w:t>
      </w:r>
      <w:r w:rsidR="00631455" w:rsidRPr="00F91CB3">
        <w:t>.</w:t>
      </w:r>
      <w:r w:rsidR="0057128F">
        <w:t xml:space="preserve"> </w:t>
      </w:r>
      <w:r w:rsidR="00631455" w:rsidRPr="00F91CB3">
        <w:t>This achieved the</w:t>
      </w:r>
      <w:r w:rsidRPr="00F91CB3">
        <w:t xml:space="preserve"> </w:t>
      </w:r>
      <w:r w:rsidR="00631455" w:rsidRPr="00F91CB3">
        <w:t xml:space="preserve">project’s </w:t>
      </w:r>
      <w:r w:rsidRPr="00F91CB3">
        <w:t>target</w:t>
      </w:r>
      <w:r w:rsidR="00D75FBB" w:rsidRPr="00F91CB3">
        <w:t xml:space="preserve"> of</w:t>
      </w:r>
      <w:r w:rsidRPr="00F91CB3">
        <w:t xml:space="preserve"> being completed on </w:t>
      </w:r>
      <w:r w:rsidR="0073566E" w:rsidRPr="00F91CB3">
        <w:t xml:space="preserve">time and on </w:t>
      </w:r>
      <w:r w:rsidRPr="00F91CB3">
        <w:t>budget</w:t>
      </w:r>
      <w:r w:rsidR="00024663" w:rsidRPr="00F91CB3">
        <w:t>.</w:t>
      </w:r>
    </w:p>
    <w:p w:rsidR="008C7122" w:rsidRPr="00F91CB3" w:rsidRDefault="00F91CB3" w:rsidP="00F91CB3">
      <w:pPr>
        <w:pStyle w:val="Healthheading2"/>
      </w:pPr>
      <w:r>
        <w:t>Project objectives and expected impacts</w:t>
      </w:r>
    </w:p>
    <w:p w:rsidR="00024663" w:rsidRPr="00F91CB3" w:rsidRDefault="00F91CB3" w:rsidP="00F91CB3">
      <w:pPr>
        <w:pStyle w:val="Healthheading3"/>
      </w:pPr>
      <w:r>
        <w:t>Project o</w:t>
      </w:r>
      <w:r w:rsidR="00024663" w:rsidRPr="00F91CB3">
        <w:t>bjectives</w:t>
      </w:r>
    </w:p>
    <w:p w:rsidR="00024663" w:rsidRPr="00F91CB3" w:rsidRDefault="00024663" w:rsidP="00F91CB3">
      <w:pPr>
        <w:pStyle w:val="Healthbody"/>
      </w:pPr>
      <w:r w:rsidRPr="00F91CB3">
        <w:t>1. To supplement the current SLE capacity (human resources, infrastructure and equipment) already available in participating health service and educational institutions, with the additional resources needed to establish an integrated SLE for the L</w:t>
      </w:r>
      <w:r w:rsidR="00F70A72" w:rsidRPr="00F91CB3">
        <w:t>M</w:t>
      </w:r>
      <w:r w:rsidRPr="00F91CB3">
        <w:t xml:space="preserve"> region that includes hubs in Bendigo and Mildura, and an out(in)reach program for health </w:t>
      </w:r>
      <w:r w:rsidR="00F91CB3">
        <w:t>services throughout the region.</w:t>
      </w:r>
    </w:p>
    <w:p w:rsidR="00024663" w:rsidRPr="00F91CB3" w:rsidRDefault="00024663" w:rsidP="00F91CB3">
      <w:pPr>
        <w:pStyle w:val="Healthbody"/>
      </w:pPr>
      <w:r w:rsidRPr="00F91CB3">
        <w:t xml:space="preserve">2. To resource the Bendigo and Mildura SLE hubs with human resources, infrastructure and equipment of equivalent quality to those available to health professional students and health service communities in metropolitan and regional Victoria outside the </w:t>
      </w:r>
      <w:r w:rsidR="00364ABC">
        <w:t>LM CPN</w:t>
      </w:r>
      <w:r w:rsidR="00F91CB3">
        <w:t>.</w:t>
      </w:r>
    </w:p>
    <w:p w:rsidR="00024663" w:rsidRPr="00F91CB3" w:rsidRDefault="00024663" w:rsidP="00F91CB3">
      <w:pPr>
        <w:pStyle w:val="Healthbody"/>
      </w:pPr>
      <w:r w:rsidRPr="00F91CB3">
        <w:t xml:space="preserve">3. To service the anticipated simulation educational needs of the consortium partners in the </w:t>
      </w:r>
      <w:r w:rsidR="00364ABC">
        <w:t>LM CPN</w:t>
      </w:r>
      <w:r w:rsidRPr="00F91CB3">
        <w:t xml:space="preserve"> using an efficient and appropriate hub</w:t>
      </w:r>
      <w:r w:rsidR="00F91CB3">
        <w:t>-and-spoke model.</w:t>
      </w:r>
    </w:p>
    <w:p w:rsidR="00024663" w:rsidRPr="00F91CB3" w:rsidRDefault="00024663" w:rsidP="00F91CB3">
      <w:pPr>
        <w:pStyle w:val="Healthbody"/>
      </w:pPr>
      <w:r w:rsidRPr="00F91CB3">
        <w:t xml:space="preserve">4. The establishment of a multi-institutional governance structure that will </w:t>
      </w:r>
      <w:r w:rsidR="00342B35" w:rsidRPr="00F91CB3">
        <w:t>maximi</w:t>
      </w:r>
      <w:r w:rsidR="00B01515" w:rsidRPr="00F91CB3">
        <w:t>s</w:t>
      </w:r>
      <w:r w:rsidR="00342B35" w:rsidRPr="00F91CB3">
        <w:t>e</w:t>
      </w:r>
      <w:r w:rsidRPr="00F91CB3">
        <w:t xml:space="preserve"> usage of, and provide equitable access to, simulated learning opportunities for health professional students placed in the </w:t>
      </w:r>
      <w:r w:rsidR="00B01515" w:rsidRPr="00F91CB3">
        <w:t>LM region.</w:t>
      </w:r>
    </w:p>
    <w:p w:rsidR="00024663" w:rsidRPr="00F91CB3" w:rsidRDefault="00024663" w:rsidP="00F91CB3">
      <w:pPr>
        <w:pStyle w:val="Healthbody"/>
      </w:pPr>
      <w:r w:rsidRPr="00F91CB3">
        <w:t xml:space="preserve">5. To monitor data relating to equipment usage, education and people management to track </w:t>
      </w:r>
      <w:r w:rsidR="00342B35" w:rsidRPr="00F91CB3">
        <w:t xml:space="preserve">delivery </w:t>
      </w:r>
      <w:r w:rsidR="00B01515" w:rsidRPr="00F91CB3">
        <w:t>hour</w:t>
      </w:r>
      <w:r w:rsidR="00B076DB" w:rsidRPr="00F91CB3">
        <w:t>s</w:t>
      </w:r>
      <w:r w:rsidR="00B01515" w:rsidRPr="00F91CB3">
        <w:t>’</w:t>
      </w:r>
      <w:r w:rsidR="00342B35" w:rsidRPr="00F91CB3">
        <w:t xml:space="preserve"> </w:t>
      </w:r>
      <w:proofErr w:type="gramStart"/>
      <w:r w:rsidR="00B076DB" w:rsidRPr="00F91CB3">
        <w:t>progress</w:t>
      </w:r>
      <w:r w:rsidR="00B01515" w:rsidRPr="00F91CB3">
        <w:t>,</w:t>
      </w:r>
      <w:proofErr w:type="gramEnd"/>
      <w:r w:rsidRPr="00F91CB3">
        <w:t xml:space="preserve"> evaluate per</w:t>
      </w:r>
      <w:r w:rsidR="00F91CB3">
        <w:t>formance and make improvements.</w:t>
      </w:r>
    </w:p>
    <w:p w:rsidR="00024663" w:rsidRPr="00F91CB3" w:rsidRDefault="00024663" w:rsidP="00F91CB3">
      <w:pPr>
        <w:pStyle w:val="Healthbody"/>
      </w:pPr>
      <w:r w:rsidRPr="00F91CB3">
        <w:t xml:space="preserve">6. To co-fund the strategy with sustainable ongoing funding commitments from the participating universities at a level at least equivalent to existing simulation costs in this region with a </w:t>
      </w:r>
      <w:r w:rsidR="00B01515" w:rsidRPr="00F91CB3">
        <w:t>‘</w:t>
      </w:r>
      <w:r w:rsidRPr="00F91CB3">
        <w:t>user-pays</w:t>
      </w:r>
      <w:r w:rsidR="00B01515" w:rsidRPr="00F91CB3">
        <w:t>’</w:t>
      </w:r>
      <w:r w:rsidRPr="00F91CB3">
        <w:t xml:space="preserve"> contrib</w:t>
      </w:r>
      <w:r w:rsidR="00B01515" w:rsidRPr="00F91CB3">
        <w:t>ution from participants and/</w:t>
      </w:r>
      <w:r w:rsidRPr="00F91CB3">
        <w:t>or</w:t>
      </w:r>
      <w:r w:rsidR="00B01515" w:rsidRPr="00F91CB3">
        <w:t xml:space="preserve"> their health service employers/</w:t>
      </w:r>
      <w:r w:rsidRPr="00F91CB3">
        <w:t>VET sector education providers on</w:t>
      </w:r>
      <w:r w:rsidR="00B01515" w:rsidRPr="00F91CB3">
        <w:t xml:space="preserve"> an</w:t>
      </w:r>
      <w:r w:rsidRPr="00F91CB3">
        <w:t xml:space="preserve"> </w:t>
      </w:r>
      <w:r w:rsidR="00B01515" w:rsidRPr="00F91CB3">
        <w:t>‘</w:t>
      </w:r>
      <w:r w:rsidRPr="00F91CB3">
        <w:t>a</w:t>
      </w:r>
      <w:r w:rsidR="00342B35" w:rsidRPr="00F91CB3">
        <w:t xml:space="preserve">s </w:t>
      </w:r>
      <w:r w:rsidRPr="00F91CB3">
        <w:t>needs</w:t>
      </w:r>
      <w:r w:rsidR="00B01515" w:rsidRPr="00F91CB3">
        <w:t>’</w:t>
      </w:r>
      <w:r w:rsidR="00342B35" w:rsidRPr="00F91CB3">
        <w:t xml:space="preserve"> </w:t>
      </w:r>
      <w:r w:rsidR="00F91CB3">
        <w:t>basis.</w:t>
      </w:r>
    </w:p>
    <w:p w:rsidR="00024663" w:rsidRPr="00F91CB3" w:rsidRDefault="00F91CB3" w:rsidP="00F91CB3">
      <w:pPr>
        <w:pStyle w:val="Healthheading3"/>
      </w:pPr>
      <w:r w:rsidRPr="00F91CB3">
        <w:t>Expected i</w:t>
      </w:r>
      <w:r w:rsidR="00024663" w:rsidRPr="00F91CB3">
        <w:t>mpacts</w:t>
      </w:r>
    </w:p>
    <w:p w:rsidR="00024663" w:rsidRPr="00F91CB3" w:rsidRDefault="00024663" w:rsidP="00F91CB3">
      <w:pPr>
        <w:pStyle w:val="Healthbody"/>
      </w:pPr>
      <w:r w:rsidRPr="00F91CB3">
        <w:t>1. Establishment of enhanced multi-institutional capacity for simulation education for the training of professional entry and other learners in health professions in Bendigo, Mildura and affiliated s</w:t>
      </w:r>
      <w:r w:rsidR="00B01515" w:rsidRPr="00F91CB3">
        <w:t>maller centres throughout the LM</w:t>
      </w:r>
      <w:r w:rsidR="00F91CB3">
        <w:t xml:space="preserve"> region CPN.</w:t>
      </w:r>
    </w:p>
    <w:p w:rsidR="00024663" w:rsidRPr="00F91CB3" w:rsidRDefault="00024663" w:rsidP="00F91CB3">
      <w:pPr>
        <w:pStyle w:val="Healthbody"/>
      </w:pPr>
      <w:r w:rsidRPr="00F91CB3">
        <w:t xml:space="preserve">2. Establishment of a platform for multi-professional and </w:t>
      </w:r>
      <w:r w:rsidR="0024748A">
        <w:t>interprofessional</w:t>
      </w:r>
      <w:r w:rsidRPr="00F91CB3">
        <w:t xml:space="preserve"> education in a wide range of settings through multi-institutional participation and ownership of this simula</w:t>
      </w:r>
      <w:r w:rsidR="00F91CB3">
        <w:t>ted learning environment model.</w:t>
      </w:r>
    </w:p>
    <w:p w:rsidR="00024663" w:rsidRPr="00F91CB3" w:rsidRDefault="00024663" w:rsidP="00F91CB3">
      <w:pPr>
        <w:pStyle w:val="Healthbody"/>
      </w:pPr>
      <w:r w:rsidRPr="00F91CB3">
        <w:t>3. Improvement in quality, efficiency and safety of clinical education for health professions through clinical preparation and practice in simulated environments before and du</w:t>
      </w:r>
      <w:r w:rsidR="00F91CB3">
        <w:t>ring their clinical placements.</w:t>
      </w:r>
    </w:p>
    <w:p w:rsidR="00024663" w:rsidRPr="00F91CB3" w:rsidRDefault="00024663" w:rsidP="00F91CB3">
      <w:pPr>
        <w:pStyle w:val="Healthbody"/>
      </w:pPr>
      <w:r w:rsidRPr="00F91CB3">
        <w:t xml:space="preserve">4. Provision of </w:t>
      </w:r>
      <w:r w:rsidR="00342B35" w:rsidRPr="00F91CB3">
        <w:t>contextuali</w:t>
      </w:r>
      <w:r w:rsidR="00B01515" w:rsidRPr="00F91CB3">
        <w:t>s</w:t>
      </w:r>
      <w:r w:rsidR="00342B35" w:rsidRPr="00F91CB3">
        <w:t>ed</w:t>
      </w:r>
      <w:r w:rsidRPr="00F91CB3">
        <w:t xml:space="preserve"> and safe simulated learning environments to assist in providing clinical education for an increasing number o</w:t>
      </w:r>
      <w:r w:rsidR="00F91CB3">
        <w:t>f health professional students.</w:t>
      </w:r>
    </w:p>
    <w:p w:rsidR="00024663" w:rsidRPr="00F91CB3" w:rsidRDefault="00024663" w:rsidP="00F91CB3">
      <w:pPr>
        <w:pStyle w:val="Healthbody"/>
      </w:pPr>
      <w:r w:rsidRPr="00F91CB3">
        <w:t xml:space="preserve">5. More efficient use of student clinical placements through curriculum development and planning that incorporates the enhanced </w:t>
      </w:r>
      <w:r w:rsidR="00F91CB3">
        <w:t>simulated learning environment.</w:t>
      </w:r>
    </w:p>
    <w:p w:rsidR="00024663" w:rsidRPr="00F91CB3" w:rsidRDefault="00024663" w:rsidP="00F91CB3">
      <w:pPr>
        <w:pStyle w:val="Healthbody"/>
      </w:pPr>
      <w:r w:rsidRPr="00F91CB3">
        <w:t xml:space="preserve">6. Growth in clinical education capacity and expertise on the Bendigo and Mildura campuses to support and develop simulated learning in Bendigo, Mildura and the </w:t>
      </w:r>
      <w:r w:rsidR="00364ABC">
        <w:t>LM CPN</w:t>
      </w:r>
      <w:r w:rsidR="0024748A">
        <w:t>.</w:t>
      </w:r>
    </w:p>
    <w:p w:rsidR="00A65B51" w:rsidRPr="00F91CB3" w:rsidRDefault="00F91CB3" w:rsidP="00F91CB3">
      <w:pPr>
        <w:pStyle w:val="Healthheading2"/>
      </w:pPr>
      <w:r w:rsidRPr="00F91CB3">
        <w:t>Project m</w:t>
      </w:r>
      <w:r w:rsidR="00A65B51" w:rsidRPr="00F91CB3">
        <w:t xml:space="preserve">anagement </w:t>
      </w:r>
    </w:p>
    <w:p w:rsidR="005372C4" w:rsidRPr="00F91CB3" w:rsidRDefault="00F91CB3" w:rsidP="00F91CB3">
      <w:pPr>
        <w:pStyle w:val="Healthheading3"/>
      </w:pPr>
      <w:r>
        <w:t>Project m</w:t>
      </w:r>
      <w:r w:rsidR="00B01515" w:rsidRPr="00F91CB3">
        <w:t>anagement/</w:t>
      </w:r>
      <w:r>
        <w:t>g</w:t>
      </w:r>
      <w:r w:rsidR="005372C4" w:rsidRPr="00F91CB3">
        <w:t>overnance, including staff changes</w:t>
      </w:r>
    </w:p>
    <w:p w:rsidR="006A4CCF" w:rsidRPr="00F91CB3" w:rsidRDefault="005372C4" w:rsidP="00F91CB3">
      <w:pPr>
        <w:pStyle w:val="Healthbody"/>
      </w:pPr>
      <w:r w:rsidRPr="00F91CB3">
        <w:t xml:space="preserve">A collaborative agreement </w:t>
      </w:r>
      <w:r w:rsidR="00342B35" w:rsidRPr="00F91CB3">
        <w:t xml:space="preserve">contract </w:t>
      </w:r>
      <w:r w:rsidRPr="00F91CB3">
        <w:t xml:space="preserve">between the project lead </w:t>
      </w:r>
      <w:r w:rsidR="00934718" w:rsidRPr="00F91CB3">
        <w:t xml:space="preserve">(Monash University) </w:t>
      </w:r>
      <w:r w:rsidRPr="00F91CB3">
        <w:t xml:space="preserve">and the project partners (La Trobe University, Bendigo Health and Bendigo Regional Institute of TAFE) </w:t>
      </w:r>
      <w:r w:rsidR="00B076DB" w:rsidRPr="00F91CB3">
        <w:t>were</w:t>
      </w:r>
      <w:r w:rsidRPr="00F91CB3">
        <w:t xml:space="preserve"> completed at the end of May 2012. This project </w:t>
      </w:r>
      <w:r w:rsidR="00B533EB" w:rsidRPr="00F91CB3">
        <w:t>submitted reports</w:t>
      </w:r>
      <w:r w:rsidRPr="00F91CB3">
        <w:t xml:space="preserve"> </w:t>
      </w:r>
      <w:r w:rsidR="00B533EB" w:rsidRPr="00F91CB3">
        <w:t xml:space="preserve">on a monthly basis </w:t>
      </w:r>
      <w:r w:rsidRPr="00F91CB3">
        <w:t xml:space="preserve">to the </w:t>
      </w:r>
      <w:r w:rsidR="00364ABC">
        <w:t>LM CPN</w:t>
      </w:r>
      <w:r w:rsidRPr="00F91CB3">
        <w:t xml:space="preserve">, where members </w:t>
      </w:r>
      <w:r w:rsidR="008C655F" w:rsidRPr="00F91CB3">
        <w:t xml:space="preserve">had </w:t>
      </w:r>
      <w:r w:rsidRPr="00F91CB3">
        <w:t xml:space="preserve">an opportunity to flag any concerns and raise queries relating to the project and its progress. </w:t>
      </w:r>
      <w:r w:rsidR="008C655F" w:rsidRPr="00F91CB3">
        <w:t>A</w:t>
      </w:r>
      <w:r w:rsidRPr="00F91CB3">
        <w:t xml:space="preserve"> Senior Managers</w:t>
      </w:r>
      <w:r w:rsidR="00B533EB" w:rsidRPr="00F91CB3">
        <w:t>’</w:t>
      </w:r>
      <w:r w:rsidRPr="00F91CB3">
        <w:t xml:space="preserve"> Committee</w:t>
      </w:r>
      <w:r w:rsidR="008C655F" w:rsidRPr="00F91CB3">
        <w:t xml:space="preserve"> was established and</w:t>
      </w:r>
      <w:r w:rsidR="00934718" w:rsidRPr="00F91CB3">
        <w:t xml:space="preserve"> me</w:t>
      </w:r>
      <w:r w:rsidRPr="00F91CB3">
        <w:t xml:space="preserve">t </w:t>
      </w:r>
      <w:r w:rsidR="00934718" w:rsidRPr="00F91CB3">
        <w:t xml:space="preserve">on a </w:t>
      </w:r>
      <w:r w:rsidRPr="00F91CB3">
        <w:t>monthly</w:t>
      </w:r>
      <w:r w:rsidR="00934718" w:rsidRPr="00F91CB3">
        <w:t xml:space="preserve"> basis. </w:t>
      </w:r>
      <w:r w:rsidRPr="00F91CB3">
        <w:t xml:space="preserve">Terms of Reference </w:t>
      </w:r>
      <w:r w:rsidR="00934718" w:rsidRPr="00F91CB3">
        <w:t xml:space="preserve">were clearly outlined and </w:t>
      </w:r>
      <w:r w:rsidRPr="00F91CB3">
        <w:t xml:space="preserve">relevant to this group. </w:t>
      </w:r>
      <w:r w:rsidR="00934718" w:rsidRPr="00F91CB3">
        <w:t>An</w:t>
      </w:r>
      <w:r w:rsidRPr="00F91CB3">
        <w:t xml:space="preserve"> Educators</w:t>
      </w:r>
      <w:r w:rsidR="00B533EB" w:rsidRPr="00F91CB3">
        <w:t>’</w:t>
      </w:r>
      <w:r w:rsidRPr="00F91CB3">
        <w:t xml:space="preserve"> Committee </w:t>
      </w:r>
      <w:r w:rsidR="00934718" w:rsidRPr="00F91CB3">
        <w:t xml:space="preserve">was also established and </w:t>
      </w:r>
      <w:r w:rsidRPr="00F91CB3">
        <w:t xml:space="preserve">met </w:t>
      </w:r>
      <w:r w:rsidR="00934718" w:rsidRPr="00F91CB3">
        <w:t>on a regular basis</w:t>
      </w:r>
      <w:r w:rsidRPr="00F91CB3">
        <w:t xml:space="preserve"> </w:t>
      </w:r>
      <w:r w:rsidR="00B533EB" w:rsidRPr="00F91CB3">
        <w:t>to allow</w:t>
      </w:r>
      <w:r w:rsidRPr="00F91CB3">
        <w:t xml:space="preserve"> for the planning and development of the specific education resources</w:t>
      </w:r>
      <w:r w:rsidR="00934718" w:rsidRPr="00F91CB3">
        <w:t xml:space="preserve"> in response to a detailed needs analysis </w:t>
      </w:r>
      <w:r w:rsidR="001E1B76" w:rsidRPr="00F91CB3">
        <w:t xml:space="preserve">and review </w:t>
      </w:r>
      <w:r w:rsidR="00934718" w:rsidRPr="00F91CB3">
        <w:t>process</w:t>
      </w:r>
      <w:r w:rsidRPr="00F91CB3">
        <w:t xml:space="preserve">. </w:t>
      </w:r>
    </w:p>
    <w:p w:rsidR="00A65B51" w:rsidRPr="00F91CB3" w:rsidRDefault="00A65B51" w:rsidP="00F91CB3">
      <w:pPr>
        <w:pStyle w:val="Healthheading3"/>
      </w:pPr>
      <w:r w:rsidRPr="00F91CB3">
        <w:t>Staffing</w:t>
      </w:r>
    </w:p>
    <w:p w:rsidR="005372C4" w:rsidRPr="00F91CB3" w:rsidRDefault="00934718" w:rsidP="00F91CB3">
      <w:pPr>
        <w:pStyle w:val="Healthbody"/>
      </w:pPr>
      <w:r w:rsidRPr="00F91CB3">
        <w:t>A</w:t>
      </w:r>
      <w:r w:rsidR="00024663" w:rsidRPr="00F91CB3">
        <w:t>n</w:t>
      </w:r>
      <w:r w:rsidR="005372C4" w:rsidRPr="00F91CB3">
        <w:t xml:space="preserve"> SLE </w:t>
      </w:r>
      <w:r w:rsidR="00394AD6" w:rsidRPr="00F91CB3">
        <w:t>Coordinator</w:t>
      </w:r>
      <w:r w:rsidRPr="00F91CB3">
        <w:t xml:space="preserve"> was employed and </w:t>
      </w:r>
      <w:r w:rsidR="0024748A">
        <w:t>commenced on the 6</w:t>
      </w:r>
      <w:r w:rsidR="005372C4" w:rsidRPr="00F91CB3">
        <w:t xml:space="preserve"> August, 2012. The education team</w:t>
      </w:r>
      <w:r w:rsidR="00B533EB" w:rsidRPr="00F91CB3">
        <w:t>,</w:t>
      </w:r>
      <w:r w:rsidR="005372C4" w:rsidRPr="00F91CB3">
        <w:t xml:space="preserve"> </w:t>
      </w:r>
      <w:r w:rsidRPr="00F91CB3">
        <w:t>consisting of educators and technicians</w:t>
      </w:r>
      <w:r w:rsidR="00B533EB" w:rsidRPr="00F91CB3">
        <w:t>,</w:t>
      </w:r>
      <w:r w:rsidRPr="00F91CB3">
        <w:t xml:space="preserve"> were recruited by each </w:t>
      </w:r>
      <w:r w:rsidR="00B533EB" w:rsidRPr="00F91CB3">
        <w:t>h</w:t>
      </w:r>
      <w:r w:rsidRPr="00F91CB3">
        <w:t xml:space="preserve">ub and </w:t>
      </w:r>
      <w:r w:rsidR="00B533EB" w:rsidRPr="00F91CB3">
        <w:t>u</w:t>
      </w:r>
      <w:r w:rsidRPr="00F91CB3">
        <w:t xml:space="preserve">niversity. The employment </w:t>
      </w:r>
      <w:r w:rsidR="008C51FD" w:rsidRPr="00F91CB3">
        <w:t xml:space="preserve">contracts were mixed and mostly driven by finite funding arrangements. </w:t>
      </w:r>
      <w:r w:rsidR="00B533EB" w:rsidRPr="00F91CB3">
        <w:t>The u</w:t>
      </w:r>
      <w:r w:rsidR="008C51FD" w:rsidRPr="00F91CB3">
        <w:t>niversities</w:t>
      </w:r>
      <w:r w:rsidR="00E33EBA" w:rsidRPr="00F91CB3">
        <w:t>’</w:t>
      </w:r>
      <w:r w:rsidR="008C51FD" w:rsidRPr="00F91CB3">
        <w:t xml:space="preserve"> </w:t>
      </w:r>
      <w:r w:rsidR="0079626A" w:rsidRPr="00F91CB3">
        <w:t xml:space="preserve">policies </w:t>
      </w:r>
      <w:r w:rsidR="008C51FD" w:rsidRPr="00F91CB3">
        <w:t xml:space="preserve">restricted employment to </w:t>
      </w:r>
      <w:r w:rsidRPr="00F91CB3">
        <w:t>sessional staff</w:t>
      </w:r>
      <w:r w:rsidR="008C51FD" w:rsidRPr="00F91CB3">
        <w:t xml:space="preserve"> and</w:t>
      </w:r>
      <w:r w:rsidRPr="00F91CB3">
        <w:t xml:space="preserve"> </w:t>
      </w:r>
      <w:r w:rsidR="00B533EB" w:rsidRPr="00F91CB3">
        <w:t xml:space="preserve">to </w:t>
      </w:r>
      <w:r w:rsidRPr="00F91CB3">
        <w:t>short term contracts</w:t>
      </w:r>
      <w:r w:rsidR="008C51FD" w:rsidRPr="00F91CB3">
        <w:t>. Where possible</w:t>
      </w:r>
      <w:r w:rsidR="008C655F" w:rsidRPr="00F91CB3">
        <w:t>,</w:t>
      </w:r>
      <w:r w:rsidR="008C51FD" w:rsidRPr="00F91CB3">
        <w:t xml:space="preserve"> </w:t>
      </w:r>
      <w:r w:rsidR="008C655F" w:rsidRPr="00F91CB3">
        <w:t xml:space="preserve">SLE educators were </w:t>
      </w:r>
      <w:r w:rsidR="00B01515" w:rsidRPr="00F91CB3">
        <w:t>employed full-</w:t>
      </w:r>
      <w:r w:rsidR="00301463" w:rsidRPr="00F91CB3">
        <w:t>time and</w:t>
      </w:r>
      <w:r w:rsidR="008C51FD" w:rsidRPr="00F91CB3">
        <w:t xml:space="preserve"> </w:t>
      </w:r>
      <w:r w:rsidR="008C655F" w:rsidRPr="00F91CB3">
        <w:t xml:space="preserve">SLE </w:t>
      </w:r>
      <w:r w:rsidR="008C51FD" w:rsidRPr="00F91CB3">
        <w:t>technician</w:t>
      </w:r>
      <w:r w:rsidR="008C655F" w:rsidRPr="00F91CB3">
        <w:t>s</w:t>
      </w:r>
      <w:r w:rsidR="008C51FD" w:rsidRPr="00F91CB3">
        <w:t xml:space="preserve"> were </w:t>
      </w:r>
      <w:r w:rsidR="008C655F" w:rsidRPr="00F91CB3">
        <w:t xml:space="preserve">employed </w:t>
      </w:r>
      <w:r w:rsidR="00B01515" w:rsidRPr="00F91CB3">
        <w:t>part-</w:t>
      </w:r>
      <w:r w:rsidR="00B076DB" w:rsidRPr="00F91CB3">
        <w:t>time</w:t>
      </w:r>
      <w:r w:rsidR="00E33EBA" w:rsidRPr="00F91CB3">
        <w:t>,</w:t>
      </w:r>
      <w:r w:rsidR="00B076DB" w:rsidRPr="00F91CB3">
        <w:t xml:space="preserve"> as</w:t>
      </w:r>
      <w:r w:rsidR="008C655F" w:rsidRPr="00F91CB3">
        <w:t xml:space="preserve"> budgeted in the original proposal</w:t>
      </w:r>
      <w:r w:rsidR="008C51FD" w:rsidRPr="00F91CB3">
        <w:t>.</w:t>
      </w:r>
    </w:p>
    <w:p w:rsidR="005372C4" w:rsidRPr="00F91CB3" w:rsidRDefault="00394AD6" w:rsidP="00F91CB3">
      <w:pPr>
        <w:pStyle w:val="Healthbody"/>
      </w:pPr>
      <w:r w:rsidRPr="00F91CB3">
        <w:t>There were some delays to employment</w:t>
      </w:r>
      <w:r w:rsidR="00B01515" w:rsidRPr="00F91CB3">
        <w:t>.</w:t>
      </w:r>
      <w:r w:rsidRPr="00F91CB3">
        <w:t xml:space="preserve"> </w:t>
      </w:r>
      <w:r w:rsidR="00B01515" w:rsidRPr="00F91CB3">
        <w:t>H</w:t>
      </w:r>
      <w:r w:rsidRPr="00F91CB3">
        <w:t>owever</w:t>
      </w:r>
      <w:r w:rsidR="00B01515" w:rsidRPr="00F91CB3">
        <w:t>,</w:t>
      </w:r>
      <w:r w:rsidRPr="00F91CB3">
        <w:t xml:space="preserve"> performance and budget targets were met by </w:t>
      </w:r>
      <w:r w:rsidR="0079626A" w:rsidRPr="00F91CB3">
        <w:t xml:space="preserve">successfully </w:t>
      </w:r>
      <w:r w:rsidRPr="00F91CB3">
        <w:t xml:space="preserve">purchasing additional casual staff to deliver the projected outcomes in short timeframes where </w:t>
      </w:r>
      <w:r w:rsidR="0079626A" w:rsidRPr="00F91CB3">
        <w:t>required</w:t>
      </w:r>
      <w:r w:rsidRPr="00F91CB3">
        <w:t>.</w:t>
      </w:r>
      <w:r w:rsidR="0079626A" w:rsidRPr="00F91CB3">
        <w:t xml:space="preserve"> This meant extra staff training which the hubs fulfilled.</w:t>
      </w:r>
    </w:p>
    <w:p w:rsidR="00A65B51" w:rsidRPr="00F91CB3" w:rsidRDefault="00A65B51" w:rsidP="00F91CB3">
      <w:pPr>
        <w:pStyle w:val="Healthheading3"/>
      </w:pPr>
      <w:r w:rsidRPr="00F91CB3">
        <w:t>Stakeholder engagement and consultations</w:t>
      </w:r>
    </w:p>
    <w:p w:rsidR="00B533EB" w:rsidRPr="00F91CB3" w:rsidRDefault="007C004A" w:rsidP="00F91CB3">
      <w:pPr>
        <w:pStyle w:val="Healthbody"/>
      </w:pPr>
      <w:r w:rsidRPr="00F91CB3">
        <w:t xml:space="preserve">Stakeholder engagement was first established through our CPN in the pre-funding stage. Our Project </w:t>
      </w:r>
      <w:r w:rsidR="00486C60" w:rsidRPr="00F91CB3">
        <w:t xml:space="preserve">Coordinator </w:t>
      </w:r>
      <w:r w:rsidR="008C51FD" w:rsidRPr="00F91CB3">
        <w:t>made between two and four</w:t>
      </w:r>
      <w:r w:rsidRPr="00F91CB3">
        <w:t xml:space="preserve"> visits to every site in 2012 and 2013 to carry out consultations regarding education hours</w:t>
      </w:r>
      <w:r w:rsidR="00B533EB" w:rsidRPr="00F91CB3">
        <w:t xml:space="preserve"> and</w:t>
      </w:r>
      <w:r w:rsidRPr="00F91CB3">
        <w:t xml:space="preserve"> scheduling</w:t>
      </w:r>
      <w:r w:rsidR="00B01515" w:rsidRPr="00F91CB3">
        <w:t xml:space="preserve"> and to conduct face-to-</w:t>
      </w:r>
      <w:r w:rsidRPr="00F91CB3">
        <w:t>face interviews evaluating the overall benefits and drawbacks of th</w:t>
      </w:r>
      <w:r w:rsidR="00B533EB" w:rsidRPr="00F91CB3">
        <w:t>e</w:t>
      </w:r>
      <w:r w:rsidRPr="00F91CB3">
        <w:t xml:space="preserve"> SLE project.</w:t>
      </w:r>
    </w:p>
    <w:p w:rsidR="00B533EB" w:rsidRPr="00F91CB3" w:rsidRDefault="007C004A" w:rsidP="00F91CB3">
      <w:pPr>
        <w:pStyle w:val="Healthbody"/>
      </w:pPr>
      <w:r w:rsidRPr="00F91CB3">
        <w:t xml:space="preserve">The education teams had regular contact with staff </w:t>
      </w:r>
      <w:r w:rsidR="008C655F" w:rsidRPr="00F91CB3">
        <w:t>from</w:t>
      </w:r>
      <w:r w:rsidRPr="00F91CB3">
        <w:t xml:space="preserve"> </w:t>
      </w:r>
      <w:r w:rsidR="008C51FD" w:rsidRPr="00F91CB3">
        <w:t xml:space="preserve">each of </w:t>
      </w:r>
      <w:r w:rsidRPr="00F91CB3">
        <w:t xml:space="preserve">the </w:t>
      </w:r>
      <w:r w:rsidR="0024748A">
        <w:t>twenty</w:t>
      </w:r>
      <w:r w:rsidRPr="00F91CB3">
        <w:t xml:space="preserve"> </w:t>
      </w:r>
      <w:r w:rsidR="008C655F" w:rsidRPr="00F91CB3">
        <w:t>health services they were providing SLE education to</w:t>
      </w:r>
      <w:r w:rsidRPr="00F91CB3">
        <w:t xml:space="preserve"> conduct pre-s</w:t>
      </w:r>
      <w:r w:rsidR="008C51FD" w:rsidRPr="00F91CB3">
        <w:t>ession consultations regarding s</w:t>
      </w:r>
      <w:r w:rsidRPr="00F91CB3">
        <w:t>cenario content, training needs and pedagogy</w:t>
      </w:r>
      <w:r w:rsidR="008C51FD" w:rsidRPr="00F91CB3">
        <w:t xml:space="preserve">. </w:t>
      </w:r>
    </w:p>
    <w:p w:rsidR="008C655F" w:rsidRPr="00F91CB3" w:rsidRDefault="007C004A" w:rsidP="00F91CB3">
      <w:pPr>
        <w:pStyle w:val="Healthbody"/>
      </w:pPr>
      <w:r w:rsidRPr="00F91CB3">
        <w:t>Throughout the project</w:t>
      </w:r>
      <w:r w:rsidR="00E33EBA" w:rsidRPr="00F91CB3">
        <w:t>’s</w:t>
      </w:r>
      <w:r w:rsidRPr="00F91CB3">
        <w:t xml:space="preserve"> timeframe </w:t>
      </w:r>
      <w:r w:rsidR="008C51FD" w:rsidRPr="00F91CB3">
        <w:t>two</w:t>
      </w:r>
      <w:r w:rsidRPr="00F91CB3">
        <w:t xml:space="preserve"> forums were held, one through the CPN in December 2012 and one based in Bendigo at Monash University in February 2013.</w:t>
      </w:r>
    </w:p>
    <w:p w:rsidR="007C004A" w:rsidRPr="00F91CB3" w:rsidRDefault="00E50780" w:rsidP="00F91CB3">
      <w:pPr>
        <w:pStyle w:val="Healthbody"/>
      </w:pPr>
      <w:r w:rsidRPr="00F91CB3">
        <w:t xml:space="preserve">A total of </w:t>
      </w:r>
      <w:r w:rsidR="0024748A">
        <w:t>thirty-eight</w:t>
      </w:r>
      <w:r w:rsidR="002D1C15" w:rsidRPr="00F91CB3">
        <w:t xml:space="preserve"> </w:t>
      </w:r>
      <w:r w:rsidR="007C004A" w:rsidRPr="00F91CB3">
        <w:t xml:space="preserve">educators from the LM region participated in the </w:t>
      </w:r>
      <w:r w:rsidR="005B290D" w:rsidRPr="00F91CB3">
        <w:rPr>
          <w:rStyle w:val="st"/>
        </w:rPr>
        <w:t>National Health Education and Training in Simulation (</w:t>
      </w:r>
      <w:r w:rsidR="007C004A" w:rsidRPr="00F91CB3">
        <w:t>N</w:t>
      </w:r>
      <w:r w:rsidR="00FB6DDA" w:rsidRPr="00F91CB3">
        <w:t>H</w:t>
      </w:r>
      <w:r w:rsidR="005B290D" w:rsidRPr="00F91CB3">
        <w:t>ET-</w:t>
      </w:r>
      <w:r w:rsidR="007C004A" w:rsidRPr="00F91CB3">
        <w:t>Sim</w:t>
      </w:r>
      <w:r w:rsidR="005B290D" w:rsidRPr="00F91CB3">
        <w:t>)</w:t>
      </w:r>
      <w:r w:rsidR="007C004A" w:rsidRPr="00F91CB3">
        <w:t xml:space="preserve"> training.</w:t>
      </w:r>
    </w:p>
    <w:p w:rsidR="005372C4" w:rsidRPr="00F91CB3" w:rsidRDefault="00F91CB3" w:rsidP="00F91CB3">
      <w:pPr>
        <w:pStyle w:val="Healthheading3"/>
      </w:pPr>
      <w:r>
        <w:t>Budget</w:t>
      </w:r>
    </w:p>
    <w:p w:rsidR="005A4013" w:rsidRPr="00F91CB3" w:rsidRDefault="00040CDE" w:rsidP="00F91CB3">
      <w:pPr>
        <w:pStyle w:val="Healthbody"/>
      </w:pPr>
      <w:r w:rsidRPr="00F91CB3">
        <w:t xml:space="preserve">All funding </w:t>
      </w:r>
      <w:r w:rsidR="00F91CB3" w:rsidRPr="00F91CB3">
        <w:t>budgeted</w:t>
      </w:r>
      <w:r w:rsidRPr="00F91CB3">
        <w:t xml:space="preserve"> for</w:t>
      </w:r>
      <w:r w:rsidR="005B290D" w:rsidRPr="00F91CB3">
        <w:t>,</w:t>
      </w:r>
      <w:r w:rsidRPr="00F91CB3">
        <w:t xml:space="preserve"> and received</w:t>
      </w:r>
      <w:r w:rsidR="005B290D" w:rsidRPr="00F91CB3">
        <w:t>,</w:t>
      </w:r>
      <w:r w:rsidRPr="00F91CB3">
        <w:t xml:space="preserve"> was expended as per the funding acquittal </w:t>
      </w:r>
      <w:r w:rsidR="0024748A">
        <w:t>submitted as part of this report</w:t>
      </w:r>
      <w:r w:rsidRPr="00F91CB3">
        <w:t>. Any unspent funds resulting from delays to recruitment of positions were used to increase the FTE of staff to deliver projected SLE education within shorter timeframes.</w:t>
      </w:r>
    </w:p>
    <w:p w:rsidR="00040CDE" w:rsidRPr="00F91CB3" w:rsidRDefault="00040CDE" w:rsidP="00F91CB3">
      <w:pPr>
        <w:pStyle w:val="Healthbody"/>
      </w:pPr>
      <w:r w:rsidRPr="00F91CB3">
        <w:t xml:space="preserve">Funding </w:t>
      </w:r>
      <w:r w:rsidR="00486C60" w:rsidRPr="00F91CB3">
        <w:t>transfer</w:t>
      </w:r>
      <w:r w:rsidRPr="00F91CB3">
        <w:t>s between the project partners were made according to a collaborative agreement signed by all parties at commencement of the project</w:t>
      </w:r>
      <w:r w:rsidR="00486C60" w:rsidRPr="00F91CB3">
        <w:t>.</w:t>
      </w:r>
    </w:p>
    <w:p w:rsidR="00040CDE" w:rsidRPr="00F91CB3" w:rsidRDefault="00040CDE" w:rsidP="00F91CB3">
      <w:pPr>
        <w:pStyle w:val="Healthbody"/>
      </w:pPr>
      <w:r w:rsidRPr="00F91CB3">
        <w:t>The budget was lean in comparison to the amount of training delivered during the project period</w:t>
      </w:r>
      <w:r w:rsidR="005B290D" w:rsidRPr="00F91CB3">
        <w:t>.</w:t>
      </w:r>
      <w:r w:rsidR="0057128F">
        <w:t xml:space="preserve"> </w:t>
      </w:r>
      <w:r w:rsidR="005B290D" w:rsidRPr="00F91CB3">
        <w:t>T</w:t>
      </w:r>
      <w:r w:rsidRPr="00F91CB3">
        <w:t>his will only serve the ongoing sustainability of the project if funding is reduced over time</w:t>
      </w:r>
      <w:r w:rsidR="005B290D" w:rsidRPr="00F91CB3">
        <w:t>,</w:t>
      </w:r>
      <w:r w:rsidRPr="00F91CB3">
        <w:t xml:space="preserve"> as the project partners have had to run the project using lean-business principles</w:t>
      </w:r>
      <w:r w:rsidR="005730D0" w:rsidRPr="00F91CB3">
        <w:t>.</w:t>
      </w:r>
      <w:r w:rsidRPr="00F91CB3">
        <w:t xml:space="preserve"> </w:t>
      </w:r>
    </w:p>
    <w:p w:rsidR="00521C72" w:rsidRPr="00F91CB3" w:rsidRDefault="00F91CB3" w:rsidP="00F91CB3">
      <w:pPr>
        <w:pStyle w:val="Healthheading3"/>
      </w:pPr>
      <w:r>
        <w:t>Timelines</w:t>
      </w:r>
    </w:p>
    <w:p w:rsidR="005372C4" w:rsidRPr="00F91CB3" w:rsidRDefault="005372C4" w:rsidP="00F91CB3">
      <w:pPr>
        <w:pStyle w:val="Healthbody"/>
      </w:pPr>
      <w:r w:rsidRPr="00F91CB3">
        <w:t xml:space="preserve">The Bendigo </w:t>
      </w:r>
      <w:r w:rsidR="005A4013" w:rsidRPr="00F91CB3">
        <w:t>h</w:t>
      </w:r>
      <w:r w:rsidRPr="00F91CB3">
        <w:t xml:space="preserve">ub </w:t>
      </w:r>
      <w:r w:rsidR="000F2FD0" w:rsidRPr="00F91CB3">
        <w:t>utili</w:t>
      </w:r>
      <w:r w:rsidR="005B290D" w:rsidRPr="00F91CB3">
        <w:t>s</w:t>
      </w:r>
      <w:r w:rsidR="000F2FD0" w:rsidRPr="00F91CB3">
        <w:t>ed</w:t>
      </w:r>
      <w:r w:rsidRPr="00F91CB3">
        <w:t xml:space="preserve"> two brand new facilities from January 2013 within the </w:t>
      </w:r>
      <w:r w:rsidR="00D02F0D" w:rsidRPr="00F91CB3">
        <w:t xml:space="preserve">area known as the Bendigo Health Care Group </w:t>
      </w:r>
      <w:r w:rsidR="005B290D" w:rsidRPr="00F91CB3">
        <w:t>Education P</w:t>
      </w:r>
      <w:r w:rsidRPr="00F91CB3">
        <w:t xml:space="preserve">recinct </w:t>
      </w:r>
      <w:r w:rsidR="000F2FD0" w:rsidRPr="00F91CB3">
        <w:t xml:space="preserve">where the two University </w:t>
      </w:r>
      <w:r w:rsidR="00900492" w:rsidRPr="00F91CB3">
        <w:t xml:space="preserve">buildings </w:t>
      </w:r>
      <w:r w:rsidR="00D02F0D" w:rsidRPr="00F91CB3">
        <w:t xml:space="preserve">and staffing </w:t>
      </w:r>
      <w:r w:rsidR="000F2FD0" w:rsidRPr="00F91CB3">
        <w:t xml:space="preserve">are </w:t>
      </w:r>
      <w:r w:rsidRPr="00F91CB3">
        <w:t>based.</w:t>
      </w:r>
      <w:r w:rsidR="00521C72" w:rsidRPr="00F91CB3">
        <w:t xml:space="preserve"> This </w:t>
      </w:r>
      <w:r w:rsidR="005A4013" w:rsidRPr="00F91CB3">
        <w:t xml:space="preserve">has significantly </w:t>
      </w:r>
      <w:r w:rsidR="00900492" w:rsidRPr="00F91CB3">
        <w:t>increased the accessibility and use of simulation</w:t>
      </w:r>
      <w:r w:rsidR="00842A7F" w:rsidRPr="00F91CB3">
        <w:t xml:space="preserve"> for clinicians and</w:t>
      </w:r>
      <w:r w:rsidR="00900492" w:rsidRPr="00F91CB3">
        <w:t xml:space="preserve"> </w:t>
      </w:r>
      <w:r w:rsidR="00521C72" w:rsidRPr="00F91CB3">
        <w:t>students</w:t>
      </w:r>
      <w:r w:rsidR="00842A7F" w:rsidRPr="00F91CB3">
        <w:t xml:space="preserve"> in Bendigo</w:t>
      </w:r>
      <w:r w:rsidR="00521C72" w:rsidRPr="00F91CB3">
        <w:t>.</w:t>
      </w:r>
    </w:p>
    <w:p w:rsidR="00521C72" w:rsidRPr="00F91CB3" w:rsidRDefault="005372C4" w:rsidP="00F91CB3">
      <w:pPr>
        <w:pStyle w:val="Healthbody"/>
      </w:pPr>
      <w:r w:rsidRPr="00F91CB3">
        <w:t xml:space="preserve">The </w:t>
      </w:r>
      <w:r w:rsidR="00521C72" w:rsidRPr="00F91CB3">
        <w:t xml:space="preserve">specialised simulation </w:t>
      </w:r>
      <w:r w:rsidRPr="00F91CB3">
        <w:t xml:space="preserve">equipment </w:t>
      </w:r>
      <w:r w:rsidR="00934718" w:rsidRPr="00F91CB3">
        <w:t>w</w:t>
      </w:r>
      <w:r w:rsidRPr="00F91CB3">
        <w:t xml:space="preserve">as purchased </w:t>
      </w:r>
      <w:r w:rsidR="00521C72" w:rsidRPr="00F91CB3">
        <w:t xml:space="preserve">by each </w:t>
      </w:r>
      <w:r w:rsidR="005A4013" w:rsidRPr="00F91CB3">
        <w:t>h</w:t>
      </w:r>
      <w:r w:rsidR="00521C72" w:rsidRPr="00F91CB3">
        <w:t>ub</w:t>
      </w:r>
      <w:r w:rsidR="00D02F0D" w:rsidRPr="00F91CB3">
        <w:t xml:space="preserve"> </w:t>
      </w:r>
      <w:r w:rsidR="00FB6DDA" w:rsidRPr="00F91CB3">
        <w:t>and t</w:t>
      </w:r>
      <w:r w:rsidR="00934718" w:rsidRPr="00F91CB3">
        <w:t>he majority</w:t>
      </w:r>
      <w:r w:rsidRPr="00F91CB3">
        <w:t xml:space="preserve"> </w:t>
      </w:r>
      <w:r w:rsidR="00521C72" w:rsidRPr="00F91CB3">
        <w:t xml:space="preserve">of equipment </w:t>
      </w:r>
      <w:r w:rsidR="00934718" w:rsidRPr="00F91CB3">
        <w:t>was delivered in October 2012</w:t>
      </w:r>
      <w:r w:rsidR="00521C72" w:rsidRPr="00F91CB3">
        <w:t>. T</w:t>
      </w:r>
      <w:r w:rsidRPr="00F91CB3">
        <w:t>he re</w:t>
      </w:r>
      <w:r w:rsidR="00934718" w:rsidRPr="00F91CB3">
        <w:t>maining items</w:t>
      </w:r>
      <w:r w:rsidRPr="00F91CB3">
        <w:t xml:space="preserve"> </w:t>
      </w:r>
      <w:r w:rsidR="00521C72" w:rsidRPr="00F91CB3">
        <w:t xml:space="preserve">were </w:t>
      </w:r>
      <w:r w:rsidRPr="00F91CB3">
        <w:t xml:space="preserve">delivered by the end of December 2012. Laerdal had some production delays </w:t>
      </w:r>
      <w:r w:rsidR="005A4013" w:rsidRPr="00F91CB3">
        <w:t>which</w:t>
      </w:r>
      <w:r w:rsidRPr="00F91CB3">
        <w:t xml:space="preserve"> affected </w:t>
      </w:r>
      <w:r w:rsidR="005A4013" w:rsidRPr="00F91CB3">
        <w:t xml:space="preserve">the </w:t>
      </w:r>
      <w:r w:rsidRPr="00F91CB3">
        <w:t>Monash Bendigo</w:t>
      </w:r>
      <w:r w:rsidR="00934718" w:rsidRPr="00F91CB3">
        <w:t xml:space="preserve"> site only</w:t>
      </w:r>
      <w:r w:rsidRPr="00F91CB3">
        <w:t>.</w:t>
      </w:r>
      <w:r w:rsidR="0057128F">
        <w:t xml:space="preserve"> </w:t>
      </w:r>
    </w:p>
    <w:p w:rsidR="005372C4" w:rsidRPr="00F91CB3" w:rsidRDefault="00FB6DDA" w:rsidP="00F91CB3">
      <w:pPr>
        <w:pStyle w:val="Healthbody"/>
      </w:pPr>
      <w:r w:rsidRPr="00F91CB3">
        <w:t>Equipment could not be used by educators prior to the Laerdal training otherwise warranties would have been void. Delays from Laerdal in delivering this training resulted in training</w:t>
      </w:r>
      <w:r w:rsidR="00521C72" w:rsidRPr="00F91CB3">
        <w:t xml:space="preserve"> sessions </w:t>
      </w:r>
      <w:r w:rsidRPr="00F91CB3">
        <w:t>being</w:t>
      </w:r>
      <w:r w:rsidR="00521C72" w:rsidRPr="00F91CB3">
        <w:t xml:space="preserve"> modified. The last training </w:t>
      </w:r>
      <w:r w:rsidRPr="00F91CB3">
        <w:t>provided by Laerdal to</w:t>
      </w:r>
      <w:r w:rsidR="00521C72" w:rsidRPr="00F91CB3">
        <w:t xml:space="preserve"> </w:t>
      </w:r>
      <w:r w:rsidR="005A4013" w:rsidRPr="00F91CB3">
        <w:t xml:space="preserve">Monash </w:t>
      </w:r>
      <w:r w:rsidR="00521C72" w:rsidRPr="00F91CB3">
        <w:t xml:space="preserve">Bendigo staff was not until March 2013. </w:t>
      </w:r>
    </w:p>
    <w:p w:rsidR="00C61362" w:rsidRPr="00F91CB3" w:rsidRDefault="00842A7F" w:rsidP="00F91CB3">
      <w:pPr>
        <w:pStyle w:val="Healthbody"/>
      </w:pPr>
      <w:r w:rsidRPr="00F91CB3">
        <w:t>Despite the delays to accessing the new buildings and equipment growth in clinical simulation</w:t>
      </w:r>
      <w:r w:rsidR="005B290D" w:rsidRPr="00F91CB3">
        <w:t>,</w:t>
      </w:r>
      <w:r w:rsidRPr="00F91CB3">
        <w:t xml:space="preserve"> activity exceeded projections throughout the project period. This was achieved through the use of existing equipment and providing more training within compressed timeframes.</w:t>
      </w:r>
    </w:p>
    <w:p w:rsidR="00924C27" w:rsidRPr="00F91CB3" w:rsidRDefault="00F91CB3" w:rsidP="00F91CB3">
      <w:pPr>
        <w:pStyle w:val="Healthheading2"/>
      </w:pPr>
      <w:r w:rsidRPr="00F91CB3">
        <w:t>Project activities and m</w:t>
      </w:r>
      <w:r w:rsidR="00593F1E" w:rsidRPr="00F91CB3">
        <w:t xml:space="preserve">ethodology </w:t>
      </w:r>
      <w:r w:rsidRPr="00F91CB3">
        <w:t>– performance</w:t>
      </w:r>
      <w:r w:rsidR="00924C27" w:rsidRPr="00F91CB3">
        <w:t xml:space="preserve"> against stated deliverables</w:t>
      </w:r>
    </w:p>
    <w:p w:rsidR="005A2264" w:rsidRPr="00F91CB3" w:rsidRDefault="00D1650D" w:rsidP="00F91CB3">
      <w:pPr>
        <w:pStyle w:val="Healthbody"/>
      </w:pPr>
      <w:r>
        <w:t xml:space="preserve">The LM </w:t>
      </w:r>
      <w:r w:rsidR="00AB1DFF" w:rsidRPr="00F91CB3">
        <w:t xml:space="preserve">SLE project has been </w:t>
      </w:r>
      <w:r w:rsidR="00D02F0D" w:rsidRPr="00F91CB3">
        <w:t>harmoni</w:t>
      </w:r>
      <w:r w:rsidR="00E33EBA" w:rsidRPr="00F91CB3">
        <w:t>s</w:t>
      </w:r>
      <w:r w:rsidR="00D02F0D" w:rsidRPr="00F91CB3">
        <w:t xml:space="preserve">ed </w:t>
      </w:r>
      <w:r w:rsidR="00AB1DFF" w:rsidRPr="00F91CB3">
        <w:t xml:space="preserve">to each </w:t>
      </w:r>
      <w:r w:rsidR="003B4F4B" w:rsidRPr="00F91CB3">
        <w:t>h</w:t>
      </w:r>
      <w:r w:rsidR="00AB1DFF" w:rsidRPr="00F91CB3">
        <w:t xml:space="preserve">ub and site within the </w:t>
      </w:r>
      <w:r w:rsidR="003B4F4B" w:rsidRPr="00F91CB3">
        <w:t>h</w:t>
      </w:r>
      <w:r w:rsidR="00AB1DFF" w:rsidRPr="00F91CB3">
        <w:t>ubs.</w:t>
      </w:r>
      <w:r w:rsidR="0057128F">
        <w:t xml:space="preserve"> </w:t>
      </w:r>
      <w:r w:rsidR="00AB1DFF" w:rsidRPr="00F91CB3">
        <w:t xml:space="preserve">Monash primarily supported medical student education for 60% of the time and </w:t>
      </w:r>
      <w:r w:rsidR="0024748A">
        <w:t>interprofessional</w:t>
      </w:r>
      <w:r w:rsidR="00AB1DFF" w:rsidRPr="00F91CB3">
        <w:t xml:space="preserve"> </w:t>
      </w:r>
      <w:r w:rsidR="003B4F4B" w:rsidRPr="00F91CB3">
        <w:t>(</w:t>
      </w:r>
      <w:r w:rsidR="00AB1DFF" w:rsidRPr="00F91CB3">
        <w:t>mostly nursing discipline</w:t>
      </w:r>
      <w:r w:rsidR="003B4F4B" w:rsidRPr="00F91CB3">
        <w:t>)</w:t>
      </w:r>
      <w:r w:rsidR="00AB1DFF" w:rsidRPr="00F91CB3">
        <w:t xml:space="preserve"> education for the </w:t>
      </w:r>
      <w:r w:rsidR="00D02F0D" w:rsidRPr="00F91CB3">
        <w:t xml:space="preserve">remaining </w:t>
      </w:r>
      <w:r w:rsidR="00AB1DFF" w:rsidRPr="00F91CB3">
        <w:t>40% of other learner education</w:t>
      </w:r>
      <w:r w:rsidR="005A2264" w:rsidRPr="00F91CB3">
        <w:t xml:space="preserve"> time</w:t>
      </w:r>
      <w:r w:rsidR="00D02F0D" w:rsidRPr="00F91CB3">
        <w:t xml:space="preserve">. </w:t>
      </w:r>
      <w:r w:rsidR="00AB1DFF" w:rsidRPr="00F91CB3">
        <w:t xml:space="preserve">La Trobe supported a mix of nursing and allied health </w:t>
      </w:r>
      <w:r w:rsidR="00D02F0D" w:rsidRPr="00F91CB3">
        <w:t xml:space="preserve">student </w:t>
      </w:r>
      <w:r w:rsidR="00AB1DFF" w:rsidRPr="00F91CB3">
        <w:t xml:space="preserve">education </w:t>
      </w:r>
      <w:r w:rsidR="00D02F0D" w:rsidRPr="00F91CB3">
        <w:t>a</w:t>
      </w:r>
      <w:r w:rsidR="002225C0" w:rsidRPr="00F91CB3">
        <w:t xml:space="preserve">s the 60% </w:t>
      </w:r>
      <w:r w:rsidR="00D02F0D" w:rsidRPr="00F91CB3">
        <w:t xml:space="preserve">split </w:t>
      </w:r>
      <w:r w:rsidR="002225C0" w:rsidRPr="00F91CB3">
        <w:t>a</w:t>
      </w:r>
      <w:r w:rsidR="00AB1DFF" w:rsidRPr="00F91CB3">
        <w:t xml:space="preserve">nd </w:t>
      </w:r>
      <w:r w:rsidR="00D02F0D" w:rsidRPr="00F91CB3">
        <w:t xml:space="preserve">the remaining </w:t>
      </w:r>
      <w:r w:rsidR="00AB1DFF" w:rsidRPr="00F91CB3">
        <w:t>40%</w:t>
      </w:r>
      <w:r w:rsidR="00D02F0D" w:rsidRPr="00F91CB3">
        <w:t xml:space="preserve"> </w:t>
      </w:r>
      <w:r w:rsidR="002225C0" w:rsidRPr="00F91CB3">
        <w:t xml:space="preserve">of other learner </w:t>
      </w:r>
      <w:r w:rsidR="00D02F0D" w:rsidRPr="00F91CB3">
        <w:t xml:space="preserve">sessions were </w:t>
      </w:r>
      <w:r w:rsidR="002225C0" w:rsidRPr="00F91CB3">
        <w:t>delivered to nursing, paramedicine and physiotherapy</w:t>
      </w:r>
      <w:r w:rsidR="00D02F0D" w:rsidRPr="00F91CB3">
        <w:t xml:space="preserve">. The </w:t>
      </w:r>
      <w:r w:rsidR="00E33EBA" w:rsidRPr="00F91CB3">
        <w:t>n</w:t>
      </w:r>
      <w:r w:rsidR="00AB1DFF" w:rsidRPr="00F91CB3">
        <w:t xml:space="preserve">ursing </w:t>
      </w:r>
      <w:r w:rsidR="00D02F0D" w:rsidRPr="00F91CB3">
        <w:t>profession was the</w:t>
      </w:r>
      <w:r w:rsidR="00AB1DFF" w:rsidRPr="00F91CB3">
        <w:t xml:space="preserve"> primary discipline accessing the offer of </w:t>
      </w:r>
      <w:r w:rsidR="0057128F">
        <w:t>in-reach</w:t>
      </w:r>
      <w:r w:rsidR="00F108BC" w:rsidRPr="00F91CB3">
        <w:t xml:space="preserve"> and out</w:t>
      </w:r>
      <w:r w:rsidR="00D02F0D" w:rsidRPr="00F91CB3">
        <w:t xml:space="preserve">reach </w:t>
      </w:r>
      <w:r w:rsidR="00AB1DFF" w:rsidRPr="00F91CB3">
        <w:t>simulation based learning from this project.</w:t>
      </w:r>
    </w:p>
    <w:p w:rsidR="00D4000B" w:rsidRPr="00F91CB3" w:rsidRDefault="005A2264" w:rsidP="00F91CB3">
      <w:pPr>
        <w:pStyle w:val="Healthbody"/>
      </w:pPr>
      <w:r w:rsidRPr="00F91CB3">
        <w:t xml:space="preserve">Human </w:t>
      </w:r>
      <w:r w:rsidR="00D1650D">
        <w:t>r</w:t>
      </w:r>
      <w:r w:rsidRPr="00F91CB3">
        <w:t xml:space="preserve">esources </w:t>
      </w:r>
      <w:r w:rsidR="00AB1DFF" w:rsidRPr="00F91CB3">
        <w:t xml:space="preserve">risks were encountered in the early phase of </w:t>
      </w:r>
      <w:r w:rsidR="00D4000B" w:rsidRPr="00F91CB3">
        <w:t xml:space="preserve">staff </w:t>
      </w:r>
      <w:r w:rsidR="00AB1DFF" w:rsidRPr="00F91CB3">
        <w:t xml:space="preserve">recruitment. People with </w:t>
      </w:r>
      <w:r w:rsidR="00D02F0D" w:rsidRPr="00F91CB3">
        <w:t>suitable skills</w:t>
      </w:r>
      <w:r w:rsidR="003B4F4B" w:rsidRPr="00F91CB3">
        <w:t>’</w:t>
      </w:r>
      <w:r w:rsidR="002225C0" w:rsidRPr="00F91CB3">
        <w:t xml:space="preserve"> experience </w:t>
      </w:r>
      <w:r w:rsidR="00D4000B" w:rsidRPr="00F91CB3">
        <w:t xml:space="preserve">and mix </w:t>
      </w:r>
      <w:r w:rsidR="002225C0" w:rsidRPr="00F91CB3">
        <w:t>of</w:t>
      </w:r>
      <w:r w:rsidR="00686228" w:rsidRPr="00F91CB3">
        <w:t xml:space="preserve"> real experience </w:t>
      </w:r>
      <w:r w:rsidR="00AB1DFF" w:rsidRPr="00F91CB3">
        <w:t xml:space="preserve">as </w:t>
      </w:r>
      <w:r w:rsidR="00D02F0D" w:rsidRPr="00F91CB3">
        <w:t>s</w:t>
      </w:r>
      <w:r w:rsidR="00AB1DFF" w:rsidRPr="00F91CB3">
        <w:t xml:space="preserve">imulation </w:t>
      </w:r>
      <w:r w:rsidR="00D02F0D" w:rsidRPr="00F91CB3">
        <w:t>t</w:t>
      </w:r>
      <w:r w:rsidR="00AB1DFF" w:rsidRPr="00F91CB3">
        <w:t xml:space="preserve">echnicians were not </w:t>
      </w:r>
      <w:r w:rsidR="00686228" w:rsidRPr="00F91CB3">
        <w:t xml:space="preserve">easily </w:t>
      </w:r>
      <w:r w:rsidR="00AB1DFF" w:rsidRPr="00F91CB3">
        <w:t>found in the region</w:t>
      </w:r>
      <w:r w:rsidR="003B4F4B" w:rsidRPr="00F91CB3">
        <w:t>al</w:t>
      </w:r>
      <w:r w:rsidR="00AB1DFF" w:rsidRPr="00F91CB3">
        <w:t xml:space="preserve"> and rural settings. More time had to be allowed </w:t>
      </w:r>
      <w:r w:rsidR="00686228" w:rsidRPr="00F91CB3">
        <w:t>for</w:t>
      </w:r>
      <w:r w:rsidR="00AB1DFF" w:rsidRPr="00F91CB3">
        <w:t xml:space="preserve"> </w:t>
      </w:r>
      <w:r w:rsidR="00686228" w:rsidRPr="00F91CB3">
        <w:t>training</w:t>
      </w:r>
      <w:r w:rsidR="00AB1DFF" w:rsidRPr="00F91CB3">
        <w:t xml:space="preserve"> on the job and also </w:t>
      </w:r>
      <w:r w:rsidR="00686228" w:rsidRPr="00F91CB3">
        <w:t>e</w:t>
      </w:r>
      <w:r w:rsidR="00AB1DFF" w:rsidRPr="00F91CB3">
        <w:t xml:space="preserve">ducators were required to fill the void </w:t>
      </w:r>
      <w:r w:rsidR="00D02F0D" w:rsidRPr="00F91CB3">
        <w:t xml:space="preserve">at times </w:t>
      </w:r>
      <w:r w:rsidR="00AB1DFF" w:rsidRPr="00F91CB3">
        <w:t>at a more expensive hourly rate.</w:t>
      </w:r>
      <w:r w:rsidR="003B4F4B" w:rsidRPr="00F91CB3">
        <w:t xml:space="preserve"> The half-</w:t>
      </w:r>
      <w:r w:rsidR="00686228" w:rsidRPr="00F91CB3">
        <w:t xml:space="preserve">time </w:t>
      </w:r>
      <w:r w:rsidR="00D02F0D" w:rsidRPr="00F91CB3">
        <w:t>t</w:t>
      </w:r>
      <w:r w:rsidR="00686228" w:rsidRPr="00F91CB3">
        <w:t xml:space="preserve">echnician has been a limiting resource factor for </w:t>
      </w:r>
      <w:r w:rsidR="00D02F0D" w:rsidRPr="00F91CB3">
        <w:t>some hubs</w:t>
      </w:r>
      <w:r w:rsidR="00686228" w:rsidRPr="00F91CB3">
        <w:t xml:space="preserve"> and this </w:t>
      </w:r>
      <w:r w:rsidR="00D02F0D" w:rsidRPr="00F91CB3">
        <w:t xml:space="preserve">role </w:t>
      </w:r>
      <w:r w:rsidR="003B4F4B" w:rsidRPr="00F91CB3">
        <w:t>sh</w:t>
      </w:r>
      <w:r w:rsidR="007C1093" w:rsidRPr="00F91CB3">
        <w:t>ould ideally have been a full-</w:t>
      </w:r>
      <w:r w:rsidR="00686228" w:rsidRPr="00F91CB3">
        <w:t>time position. The pressure and workload on educators has been higher than ideal as a result.</w:t>
      </w:r>
    </w:p>
    <w:p w:rsidR="005A2264" w:rsidRPr="00F91CB3" w:rsidRDefault="00D4000B" w:rsidP="00F91CB3">
      <w:pPr>
        <w:pStyle w:val="Healthbody"/>
      </w:pPr>
      <w:r w:rsidRPr="00F91CB3">
        <w:t>A further early risk was the lack of lead time to schedule bookings for simulations.</w:t>
      </w:r>
      <w:r w:rsidR="0057128F">
        <w:t xml:space="preserve"> </w:t>
      </w:r>
      <w:r w:rsidR="00842A7F" w:rsidRPr="00F91CB3">
        <w:t>Despite this</w:t>
      </w:r>
      <w:r w:rsidR="007C1093" w:rsidRPr="00F91CB3">
        <w:t>,</w:t>
      </w:r>
      <w:r w:rsidR="00842A7F" w:rsidRPr="00F91CB3">
        <w:t xml:space="preserve"> t</w:t>
      </w:r>
      <w:r w:rsidRPr="00F91CB3">
        <w:t xml:space="preserve">he </w:t>
      </w:r>
      <w:r w:rsidR="00D02F0D" w:rsidRPr="00F91CB3">
        <w:t>p</w:t>
      </w:r>
      <w:r w:rsidRPr="00F91CB3">
        <w:t xml:space="preserve">roject </w:t>
      </w:r>
      <w:r w:rsidR="00D02F0D" w:rsidRPr="00F91CB3">
        <w:t xml:space="preserve">coordinator </w:t>
      </w:r>
      <w:r w:rsidRPr="00F91CB3">
        <w:t xml:space="preserve">was able to schedule 100% of the expected sessions across the region with </w:t>
      </w:r>
      <w:r w:rsidR="00D1650D">
        <w:t>twenty-four</w:t>
      </w:r>
      <w:r w:rsidRPr="00F91CB3">
        <w:t xml:space="preserve"> health services by </w:t>
      </w:r>
      <w:r w:rsidR="00842A7F" w:rsidRPr="00F91CB3">
        <w:t xml:space="preserve">December </w:t>
      </w:r>
      <w:r w:rsidRPr="00F91CB3">
        <w:t>2012.</w:t>
      </w:r>
      <w:r w:rsidR="0057128F">
        <w:t xml:space="preserve"> </w:t>
      </w:r>
      <w:r w:rsidRPr="00F91CB3">
        <w:t xml:space="preserve">A scheduling issue was faced again in 2013 </w:t>
      </w:r>
      <w:r w:rsidR="003B4F4B" w:rsidRPr="00F91CB3">
        <w:t>as</w:t>
      </w:r>
      <w:r w:rsidRPr="00F91CB3">
        <w:t xml:space="preserve"> January and February </w:t>
      </w:r>
      <w:r w:rsidR="00842A7F" w:rsidRPr="00F91CB3">
        <w:t>are difficult months</w:t>
      </w:r>
      <w:r w:rsidRPr="00F91CB3">
        <w:t xml:space="preserve"> for </w:t>
      </w:r>
      <w:r w:rsidR="000D3D91" w:rsidRPr="00F91CB3">
        <w:t xml:space="preserve">making </w:t>
      </w:r>
      <w:r w:rsidRPr="00F91CB3">
        <w:t>contact</w:t>
      </w:r>
      <w:r w:rsidR="000D3D91" w:rsidRPr="00F91CB3">
        <w:t xml:space="preserve"> with</w:t>
      </w:r>
      <w:r w:rsidR="00842A7F" w:rsidRPr="00F91CB3">
        <w:t xml:space="preserve"> key</w:t>
      </w:r>
      <w:r w:rsidR="000D3D91" w:rsidRPr="00F91CB3">
        <w:t xml:space="preserve"> </w:t>
      </w:r>
      <w:r w:rsidRPr="00F91CB3">
        <w:t>health service</w:t>
      </w:r>
      <w:r w:rsidR="000D3D91" w:rsidRPr="00F91CB3">
        <w:t xml:space="preserve"> personnel</w:t>
      </w:r>
      <w:r w:rsidR="00842A7F" w:rsidRPr="00F91CB3">
        <w:t xml:space="preserve"> on leave</w:t>
      </w:r>
      <w:r w:rsidRPr="00F91CB3">
        <w:t xml:space="preserve">. The scheduled sessions </w:t>
      </w:r>
      <w:r w:rsidR="00842A7F" w:rsidRPr="00F91CB3">
        <w:t xml:space="preserve">therefore </w:t>
      </w:r>
      <w:r w:rsidRPr="00F91CB3">
        <w:t xml:space="preserve">had to be </w:t>
      </w:r>
      <w:r w:rsidR="00842A7F" w:rsidRPr="00F91CB3">
        <w:t>booked</w:t>
      </w:r>
      <w:r w:rsidRPr="00F91CB3">
        <w:t xml:space="preserve"> </w:t>
      </w:r>
      <w:r w:rsidR="000D3D91" w:rsidRPr="00F91CB3">
        <w:t>from</w:t>
      </w:r>
      <w:r w:rsidRPr="00F91CB3">
        <w:t xml:space="preserve"> March through to early June as a result. This </w:t>
      </w:r>
      <w:r w:rsidR="00D75FBB" w:rsidRPr="00F91CB3">
        <w:t>added</w:t>
      </w:r>
      <w:r w:rsidRPr="00F91CB3">
        <w:t xml:space="preserve"> pressure </w:t>
      </w:r>
      <w:r w:rsidR="00D75FBB" w:rsidRPr="00F91CB3">
        <w:t>t</w:t>
      </w:r>
      <w:r w:rsidRPr="00F91CB3">
        <w:t xml:space="preserve">o </w:t>
      </w:r>
      <w:r w:rsidR="005A2264" w:rsidRPr="00F91CB3">
        <w:t xml:space="preserve">the </w:t>
      </w:r>
      <w:r w:rsidRPr="00F91CB3">
        <w:t>education team</w:t>
      </w:r>
      <w:r w:rsidR="003B4F4B" w:rsidRPr="00F91CB3">
        <w:t>’</w:t>
      </w:r>
      <w:r w:rsidRPr="00F91CB3">
        <w:t>s timetables</w:t>
      </w:r>
      <w:r w:rsidR="00D75FBB" w:rsidRPr="00F91CB3">
        <w:t xml:space="preserve"> in 2013</w:t>
      </w:r>
      <w:r w:rsidRPr="00F91CB3">
        <w:t>.</w:t>
      </w:r>
      <w:r w:rsidR="005A2264" w:rsidRPr="00F91CB3">
        <w:t xml:space="preserve"> Having the project running separate</w:t>
      </w:r>
      <w:r w:rsidR="003B4F4B" w:rsidRPr="00F91CB3">
        <w:t>ly</w:t>
      </w:r>
      <w:r w:rsidR="005A2264" w:rsidRPr="00F91CB3">
        <w:t xml:space="preserve"> from the normal student pro</w:t>
      </w:r>
      <w:r w:rsidR="00D75FBB" w:rsidRPr="00F91CB3">
        <w:t xml:space="preserve">gram </w:t>
      </w:r>
      <w:r w:rsidR="005A2264" w:rsidRPr="00F91CB3">
        <w:t xml:space="preserve">in terms of systems and scheduling was a major downside with respect to </w:t>
      </w:r>
      <w:r w:rsidR="00D75FBB" w:rsidRPr="00F91CB3">
        <w:t xml:space="preserve">coordination and </w:t>
      </w:r>
      <w:r w:rsidR="005A2264" w:rsidRPr="00F91CB3">
        <w:t xml:space="preserve">administration. Staff at each site </w:t>
      </w:r>
      <w:r w:rsidR="00D75FBB" w:rsidRPr="00F91CB3">
        <w:t xml:space="preserve">ended up </w:t>
      </w:r>
      <w:r w:rsidR="005A2264" w:rsidRPr="00F91CB3">
        <w:t>spen</w:t>
      </w:r>
      <w:r w:rsidR="00D75FBB" w:rsidRPr="00F91CB3">
        <w:t>ding</w:t>
      </w:r>
      <w:r w:rsidR="005A2264" w:rsidRPr="00F91CB3">
        <w:t xml:space="preserve"> too much time trying to understand the requirements for the deliverables and how to work out what amount of time was the right amount to spend on each activity. </w:t>
      </w:r>
      <w:r w:rsidR="000D3D91" w:rsidRPr="00F91CB3">
        <w:t>The new business model</w:t>
      </w:r>
      <w:r w:rsidR="00DF0956" w:rsidRPr="00F91CB3">
        <w:t xml:space="preserve"> orientates SLE activity around professional</w:t>
      </w:r>
      <w:r w:rsidR="00406224">
        <w:t>-</w:t>
      </w:r>
      <w:r w:rsidR="00DF0956" w:rsidRPr="00F91CB3">
        <w:t>entry students and therefore this scheduling issue has been resolved</w:t>
      </w:r>
      <w:r w:rsidR="000D3D91" w:rsidRPr="00F91CB3">
        <w:t>.</w:t>
      </w:r>
    </w:p>
    <w:p w:rsidR="005A2264" w:rsidRPr="00F91CB3" w:rsidRDefault="00D4000B" w:rsidP="00F91CB3">
      <w:pPr>
        <w:pStyle w:val="Healthbody"/>
      </w:pPr>
      <w:r w:rsidRPr="00F91CB3">
        <w:t xml:space="preserve">Cancellations </w:t>
      </w:r>
      <w:r w:rsidR="005A2264" w:rsidRPr="00F91CB3">
        <w:t xml:space="preserve">were considered a major risk at the beginning of this project but in fact </w:t>
      </w:r>
      <w:r w:rsidRPr="00F91CB3">
        <w:t>were minimal</w:t>
      </w:r>
      <w:r w:rsidR="00D75FBB" w:rsidRPr="00F91CB3">
        <w:t>.</w:t>
      </w:r>
      <w:r w:rsidR="0057128F">
        <w:t xml:space="preserve"> </w:t>
      </w:r>
      <w:r w:rsidR="000D3D91" w:rsidRPr="00F91CB3">
        <w:t xml:space="preserve">The project </w:t>
      </w:r>
      <w:r w:rsidRPr="00F91CB3">
        <w:t xml:space="preserve">had eight </w:t>
      </w:r>
      <w:r w:rsidR="000D3D91" w:rsidRPr="00F91CB3">
        <w:t xml:space="preserve">cancellations </w:t>
      </w:r>
      <w:r w:rsidRPr="00F91CB3">
        <w:t xml:space="preserve">overall in the </w:t>
      </w:r>
      <w:r w:rsidR="005A2264" w:rsidRPr="00F91CB3">
        <w:t xml:space="preserve">Bendigo </w:t>
      </w:r>
      <w:r w:rsidR="003B4F4B" w:rsidRPr="00F91CB3">
        <w:t>h</w:t>
      </w:r>
      <w:r w:rsidR="005A2264" w:rsidRPr="00F91CB3">
        <w:t>ub</w:t>
      </w:r>
      <w:r w:rsidR="00D75FBB" w:rsidRPr="00F91CB3">
        <w:t xml:space="preserve"> </w:t>
      </w:r>
      <w:r w:rsidR="005A2264" w:rsidRPr="00F91CB3">
        <w:t xml:space="preserve">for the </w:t>
      </w:r>
      <w:r w:rsidRPr="00F91CB3">
        <w:t xml:space="preserve">duration of the project with a 50/50 split between health services or universities causing the cancellation. All but one was successfully re-scheduled. </w:t>
      </w:r>
      <w:r w:rsidR="003B4F4B" w:rsidRPr="00F91CB3">
        <w:t>(</w:t>
      </w:r>
      <w:r w:rsidRPr="00F91CB3">
        <w:t>The last health service did not take up the option of re-scheduling their missed session.</w:t>
      </w:r>
      <w:r w:rsidR="003B4F4B" w:rsidRPr="00F91CB3">
        <w:t>)</w:t>
      </w:r>
      <w:r w:rsidR="0057128F">
        <w:t xml:space="preserve"> </w:t>
      </w:r>
      <w:r w:rsidR="005A2264" w:rsidRPr="00F91CB3">
        <w:t xml:space="preserve">In the Mildura </w:t>
      </w:r>
      <w:r w:rsidR="003B4F4B" w:rsidRPr="00F91CB3">
        <w:t>h</w:t>
      </w:r>
      <w:r w:rsidR="005A2264" w:rsidRPr="00F91CB3">
        <w:t xml:space="preserve">ub the only cancellations were from the weekly pre-scheduled session set aside for the Mildura Base Hospital. This </w:t>
      </w:r>
      <w:r w:rsidR="000D3D91" w:rsidRPr="00F91CB3">
        <w:t xml:space="preserve">course </w:t>
      </w:r>
      <w:r w:rsidR="005A2264" w:rsidRPr="00F91CB3">
        <w:t>of week</w:t>
      </w:r>
      <w:r w:rsidR="00D75FBB" w:rsidRPr="00F91CB3">
        <w:t>ly</w:t>
      </w:r>
      <w:r w:rsidR="005A2264" w:rsidRPr="00F91CB3">
        <w:t xml:space="preserve"> pre-scheduling session</w:t>
      </w:r>
      <w:r w:rsidR="000D3D91" w:rsidRPr="00F91CB3">
        <w:t>s</w:t>
      </w:r>
      <w:r w:rsidR="005A2264" w:rsidRPr="00F91CB3">
        <w:t xml:space="preserve"> was not </w:t>
      </w:r>
      <w:r w:rsidR="000D3D91" w:rsidRPr="00F91CB3">
        <w:t>successful due</w:t>
      </w:r>
      <w:r w:rsidR="005A2264" w:rsidRPr="00F91CB3">
        <w:t xml:space="preserve"> to the Hospital</w:t>
      </w:r>
      <w:r w:rsidR="00F108BC" w:rsidRPr="00F91CB3">
        <w:t>’</w:t>
      </w:r>
      <w:r w:rsidR="005A2264" w:rsidRPr="00F91CB3">
        <w:t xml:space="preserve">s priorities </w:t>
      </w:r>
      <w:r w:rsidR="000D3D91" w:rsidRPr="00F91CB3">
        <w:t xml:space="preserve">for staff </w:t>
      </w:r>
      <w:r w:rsidR="003B4F4B" w:rsidRPr="00F91CB3">
        <w:t>around</w:t>
      </w:r>
      <w:r w:rsidR="00F108BC" w:rsidRPr="00F91CB3">
        <w:t xml:space="preserve"> patient-</w:t>
      </w:r>
      <w:r w:rsidR="005A2264" w:rsidRPr="00F91CB3">
        <w:t>care and quality health services a</w:t>
      </w:r>
      <w:r w:rsidR="00D75FBB" w:rsidRPr="00F91CB3">
        <w:t xml:space="preserve">s well as </w:t>
      </w:r>
      <w:r w:rsidR="005A2264" w:rsidRPr="00F91CB3">
        <w:t>practical constraints making i</w:t>
      </w:r>
      <w:r w:rsidR="003B4F4B" w:rsidRPr="00F91CB3">
        <w:t>t difficult for staff to go off-</w:t>
      </w:r>
      <w:r w:rsidR="005A2264" w:rsidRPr="00F91CB3">
        <w:t xml:space="preserve">site (even for a short distance to an adjacent campus) to take part in </w:t>
      </w:r>
      <w:r w:rsidR="000D3D91" w:rsidRPr="00F91CB3">
        <w:t xml:space="preserve">weekly </w:t>
      </w:r>
      <w:r w:rsidR="005A2264" w:rsidRPr="00F91CB3">
        <w:t>training.</w:t>
      </w:r>
    </w:p>
    <w:p w:rsidR="005A2264" w:rsidRPr="00F91CB3" w:rsidRDefault="00D4000B" w:rsidP="00F91CB3">
      <w:pPr>
        <w:pStyle w:val="Healthbody"/>
      </w:pPr>
      <w:r w:rsidRPr="00F91CB3">
        <w:t>A</w:t>
      </w:r>
      <w:r w:rsidR="005A2264" w:rsidRPr="00F91CB3">
        <w:t>nother key</w:t>
      </w:r>
      <w:r w:rsidRPr="00F91CB3">
        <w:t xml:space="preserve"> risk for this project was not having allocated project manager time</w:t>
      </w:r>
      <w:r w:rsidR="002225C0" w:rsidRPr="00F91CB3">
        <w:t xml:space="preserve"> in the fixed term funding</w:t>
      </w:r>
      <w:r w:rsidRPr="00F91CB3">
        <w:t>. This was provided</w:t>
      </w:r>
      <w:r w:rsidR="000D3D91" w:rsidRPr="00F91CB3">
        <w:t xml:space="preserve"> on an</w:t>
      </w:r>
      <w:r w:rsidRPr="00F91CB3">
        <w:t xml:space="preserve"> </w:t>
      </w:r>
      <w:r w:rsidR="00F108BC" w:rsidRPr="00F91CB3">
        <w:t>‘in-</w:t>
      </w:r>
      <w:r w:rsidRPr="00F91CB3">
        <w:t>kind</w:t>
      </w:r>
      <w:r w:rsidR="00F108BC" w:rsidRPr="00F91CB3">
        <w:t>’</w:t>
      </w:r>
      <w:r w:rsidR="000D3D91" w:rsidRPr="00F91CB3">
        <w:t xml:space="preserve"> basis</w:t>
      </w:r>
      <w:r w:rsidRPr="00F91CB3">
        <w:t xml:space="preserve"> by</w:t>
      </w:r>
      <w:r w:rsidR="002225C0" w:rsidRPr="00F91CB3">
        <w:t xml:space="preserve"> a</w:t>
      </w:r>
      <w:r w:rsidR="00F108BC" w:rsidRPr="00F91CB3">
        <w:t xml:space="preserve"> </w:t>
      </w:r>
      <w:r w:rsidR="002225C0" w:rsidRPr="00F91CB3">
        <w:t>0.4</w:t>
      </w:r>
      <w:r w:rsidR="00406224">
        <w:t xml:space="preserve"> </w:t>
      </w:r>
      <w:r w:rsidR="002225C0" w:rsidRPr="00F91CB3">
        <w:t>FTE by</w:t>
      </w:r>
      <w:r w:rsidRPr="00F91CB3">
        <w:t xml:space="preserve"> Monash Bendigo via a suitably qualified and experienced </w:t>
      </w:r>
      <w:r w:rsidR="003B4F4B" w:rsidRPr="00F91CB3">
        <w:t>p</w:t>
      </w:r>
      <w:r w:rsidRPr="00F91CB3">
        <w:t xml:space="preserve">roject </w:t>
      </w:r>
      <w:r w:rsidR="003B4F4B" w:rsidRPr="00F91CB3">
        <w:t>m</w:t>
      </w:r>
      <w:r w:rsidRPr="00F91CB3">
        <w:t>anager</w:t>
      </w:r>
      <w:r w:rsidR="002225C0" w:rsidRPr="00F91CB3">
        <w:t xml:space="preserve"> with workload</w:t>
      </w:r>
      <w:r w:rsidR="000D3D91" w:rsidRPr="00F91CB3">
        <w:t xml:space="preserve"> </w:t>
      </w:r>
      <w:r w:rsidRPr="00F91CB3">
        <w:t xml:space="preserve">incorporated </w:t>
      </w:r>
      <w:r w:rsidR="002225C0" w:rsidRPr="00F91CB3">
        <w:t xml:space="preserve">into </w:t>
      </w:r>
      <w:r w:rsidRPr="00F91CB3">
        <w:t xml:space="preserve">their </w:t>
      </w:r>
      <w:r w:rsidR="002225C0" w:rsidRPr="00F91CB3">
        <w:t>usual</w:t>
      </w:r>
      <w:r w:rsidRPr="00F91CB3">
        <w:t xml:space="preserve"> role. </w:t>
      </w:r>
    </w:p>
    <w:p w:rsidR="005A2264" w:rsidRPr="00F91CB3" w:rsidRDefault="005A2264" w:rsidP="00F91CB3">
      <w:pPr>
        <w:pStyle w:val="Healthbody"/>
      </w:pPr>
      <w:r w:rsidRPr="00F91CB3">
        <w:t xml:space="preserve">Quality delivery across the region was considered a risk </w:t>
      </w:r>
      <w:r w:rsidR="000D3D91" w:rsidRPr="00F91CB3">
        <w:t xml:space="preserve">by the SLE education team </w:t>
      </w:r>
      <w:r w:rsidRPr="00F91CB3">
        <w:t xml:space="preserve">early </w:t>
      </w:r>
      <w:r w:rsidR="000D3D91" w:rsidRPr="00F91CB3">
        <w:t>in the project</w:t>
      </w:r>
      <w:r w:rsidRPr="00F91CB3">
        <w:t xml:space="preserve"> and a prevention strategy was put in place</w:t>
      </w:r>
      <w:r w:rsidR="002225C0" w:rsidRPr="00F91CB3">
        <w:t xml:space="preserve"> to maintain a high standard</w:t>
      </w:r>
      <w:r w:rsidRPr="00F91CB3">
        <w:t xml:space="preserve">. One </w:t>
      </w:r>
      <w:r w:rsidR="002225C0" w:rsidRPr="00F91CB3">
        <w:t xml:space="preserve">single </w:t>
      </w:r>
      <w:r w:rsidRPr="00F91CB3">
        <w:t xml:space="preserve">curriculum </w:t>
      </w:r>
      <w:r w:rsidR="002225C0" w:rsidRPr="00F91CB3">
        <w:t xml:space="preserve">with multiple scenarios </w:t>
      </w:r>
      <w:r w:rsidRPr="00F91CB3">
        <w:t xml:space="preserve">was developed by the </w:t>
      </w:r>
      <w:r w:rsidR="000D3D91" w:rsidRPr="00F91CB3">
        <w:t>e</w:t>
      </w:r>
      <w:r w:rsidRPr="00F91CB3">
        <w:t>ducation team a</w:t>
      </w:r>
      <w:r w:rsidR="002225C0" w:rsidRPr="00F91CB3">
        <w:t>nd implement</w:t>
      </w:r>
      <w:r w:rsidR="00F108BC" w:rsidRPr="00F91CB3">
        <w:t>ed</w:t>
      </w:r>
      <w:r w:rsidR="002225C0" w:rsidRPr="00F91CB3">
        <w:t xml:space="preserve"> across</w:t>
      </w:r>
      <w:r w:rsidRPr="00F91CB3">
        <w:t xml:space="preserve"> the region based on the </w:t>
      </w:r>
      <w:r w:rsidR="002225C0" w:rsidRPr="00F91CB3">
        <w:t xml:space="preserve">theme of the </w:t>
      </w:r>
      <w:r w:rsidR="00F108BC" w:rsidRPr="00F91CB3">
        <w:t>‘</w:t>
      </w:r>
      <w:r w:rsidRPr="00F91CB3">
        <w:t>deteriorating patient</w:t>
      </w:r>
      <w:r w:rsidR="00F108BC" w:rsidRPr="00F91CB3">
        <w:t>’</w:t>
      </w:r>
      <w:r w:rsidRPr="00F91CB3">
        <w:t xml:space="preserve">. The scenarios were written for each health service according to </w:t>
      </w:r>
      <w:r w:rsidR="002225C0" w:rsidRPr="00F91CB3">
        <w:t xml:space="preserve">agreed and desired </w:t>
      </w:r>
      <w:r w:rsidRPr="00F91CB3">
        <w:t xml:space="preserve">outcomes </w:t>
      </w:r>
      <w:r w:rsidR="002225C0" w:rsidRPr="00F91CB3">
        <w:t>of the training. These outcomes were defined through</w:t>
      </w:r>
      <w:r w:rsidRPr="00F91CB3">
        <w:t xml:space="preserve"> educator discussions. Curriculum design proved to be an element that was </w:t>
      </w:r>
      <w:r w:rsidR="000D3D91" w:rsidRPr="00F91CB3">
        <w:t xml:space="preserve">unfunded </w:t>
      </w:r>
      <w:r w:rsidRPr="00F91CB3">
        <w:t xml:space="preserve">in terms of allocation of adequate staffing resources and as a result the </w:t>
      </w:r>
      <w:r w:rsidR="00590B76" w:rsidRPr="00F91CB3">
        <w:t>u</w:t>
      </w:r>
      <w:r w:rsidRPr="00F91CB3">
        <w:t xml:space="preserve">niversities offered this service on an </w:t>
      </w:r>
      <w:r w:rsidR="00590B76" w:rsidRPr="00F91CB3">
        <w:t>‘i</w:t>
      </w:r>
      <w:r w:rsidR="00F108BC" w:rsidRPr="00F91CB3">
        <w:t>n-</w:t>
      </w:r>
      <w:r w:rsidR="00590B76" w:rsidRPr="00F91CB3">
        <w:t>k</w:t>
      </w:r>
      <w:r w:rsidRPr="00F91CB3">
        <w:t>ind basis</w:t>
      </w:r>
      <w:r w:rsidR="00590B76" w:rsidRPr="00F91CB3">
        <w:t>’</w:t>
      </w:r>
      <w:r w:rsidRPr="00F91CB3">
        <w:t xml:space="preserve"> as it could not be </w:t>
      </w:r>
      <w:r w:rsidR="000D3D91" w:rsidRPr="00F91CB3">
        <w:t>omitted</w:t>
      </w:r>
      <w:r w:rsidRPr="00F91CB3">
        <w:t>.</w:t>
      </w:r>
    </w:p>
    <w:p w:rsidR="00AB1DFF" w:rsidRPr="00F91CB3" w:rsidRDefault="000D3D91" w:rsidP="00F91CB3">
      <w:pPr>
        <w:pStyle w:val="Healthbody"/>
      </w:pPr>
      <w:r w:rsidRPr="00F91CB3">
        <w:t>The</w:t>
      </w:r>
      <w:r w:rsidR="0028321D" w:rsidRPr="00F91CB3">
        <w:t xml:space="preserve"> booking system</w:t>
      </w:r>
      <w:r w:rsidR="00F108BC" w:rsidRPr="00F91CB3">
        <w:t xml:space="preserve"> for this whole-of-</w:t>
      </w:r>
      <w:r w:rsidRPr="00F91CB3">
        <w:t>region project</w:t>
      </w:r>
      <w:r w:rsidR="0028321D" w:rsidRPr="00F91CB3">
        <w:t xml:space="preserve"> was considered a r</w:t>
      </w:r>
      <w:r w:rsidR="002B3E38" w:rsidRPr="00F91CB3">
        <w:t>isk factor</w:t>
      </w:r>
      <w:r w:rsidRPr="00F91CB3">
        <w:t xml:space="preserve"> in terms of </w:t>
      </w:r>
      <w:r w:rsidR="002225C0" w:rsidRPr="00F91CB3">
        <w:t>being administratively</w:t>
      </w:r>
      <w:r w:rsidRPr="00F91CB3">
        <w:t xml:space="preserve"> intensive and difficult to maintain on a lean budget. </w:t>
      </w:r>
      <w:r w:rsidR="002B3E38" w:rsidRPr="00F91CB3">
        <w:t>An online web-</w:t>
      </w:r>
      <w:r w:rsidR="0028321D" w:rsidRPr="00F91CB3">
        <w:t xml:space="preserve">based booking system designed to meet the needs of students and health services, </w:t>
      </w:r>
      <w:r w:rsidRPr="00F91CB3">
        <w:t xml:space="preserve">multiple </w:t>
      </w:r>
      <w:r w:rsidR="002B3E38" w:rsidRPr="00F91CB3">
        <w:t>h</w:t>
      </w:r>
      <w:r w:rsidR="0028321D" w:rsidRPr="00F91CB3">
        <w:t xml:space="preserve">ub sites, </w:t>
      </w:r>
      <w:r w:rsidRPr="00F91CB3">
        <w:t xml:space="preserve">multiple </w:t>
      </w:r>
      <w:r w:rsidR="0028321D" w:rsidRPr="00F91CB3">
        <w:t xml:space="preserve">universities and </w:t>
      </w:r>
      <w:r w:rsidRPr="00F91CB3">
        <w:t xml:space="preserve">multiple </w:t>
      </w:r>
      <w:r w:rsidR="0028321D" w:rsidRPr="00F91CB3">
        <w:t>TAFE’s was explored. Th</w:t>
      </w:r>
      <w:r w:rsidR="002225C0" w:rsidRPr="00F91CB3">
        <w:t>e</w:t>
      </w:r>
      <w:r w:rsidR="0028321D" w:rsidRPr="00F91CB3">
        <w:t xml:space="preserve"> </w:t>
      </w:r>
      <w:proofErr w:type="spellStart"/>
      <w:r w:rsidR="0057128F">
        <w:t>SimBook</w:t>
      </w:r>
      <w:proofErr w:type="spellEnd"/>
      <w:r w:rsidRPr="00F91CB3">
        <w:t xml:space="preserve"> web</w:t>
      </w:r>
      <w:r w:rsidR="0028321D" w:rsidRPr="00F91CB3">
        <w:t xml:space="preserve">site is </w:t>
      </w:r>
      <w:r w:rsidR="00FE2C10" w:rsidRPr="00F91CB3">
        <w:t>now available</w:t>
      </w:r>
      <w:r w:rsidR="0028321D" w:rsidRPr="00F91CB3">
        <w:t xml:space="preserve"> for</w:t>
      </w:r>
      <w:r w:rsidR="00FE2C10" w:rsidRPr="00F91CB3">
        <w:t xml:space="preserve"> </w:t>
      </w:r>
      <w:r w:rsidR="0028321D" w:rsidRPr="00F91CB3">
        <w:t xml:space="preserve">use </w:t>
      </w:r>
      <w:r w:rsidR="002B3E38" w:rsidRPr="00F91CB3">
        <w:t xml:space="preserve">by the Hume and </w:t>
      </w:r>
      <w:r w:rsidR="00F16991" w:rsidRPr="00F91CB3">
        <w:t>L</w:t>
      </w:r>
      <w:r w:rsidR="00F108BC" w:rsidRPr="00F91CB3">
        <w:t>M</w:t>
      </w:r>
      <w:r w:rsidR="00F16991" w:rsidRPr="00F91CB3">
        <w:t xml:space="preserve"> regions</w:t>
      </w:r>
      <w:r w:rsidR="00FE2C10" w:rsidRPr="00F91CB3">
        <w:t xml:space="preserve">. </w:t>
      </w:r>
      <w:r w:rsidR="002B3E38" w:rsidRPr="00F91CB3">
        <w:t>It</w:t>
      </w:r>
      <w:r w:rsidR="00FE2C10" w:rsidRPr="00F91CB3">
        <w:t xml:space="preserve"> was decided to include</w:t>
      </w:r>
      <w:r w:rsidR="00590B76" w:rsidRPr="00F91CB3">
        <w:t xml:space="preserve"> the</w:t>
      </w:r>
      <w:r w:rsidR="00FE2C10" w:rsidRPr="00F91CB3">
        <w:t xml:space="preserve"> two regions to share </w:t>
      </w:r>
      <w:r w:rsidR="00590B76" w:rsidRPr="00F91CB3">
        <w:t xml:space="preserve">the </w:t>
      </w:r>
      <w:r w:rsidR="00FE2C10" w:rsidRPr="00F91CB3">
        <w:t xml:space="preserve">costs </w:t>
      </w:r>
      <w:r w:rsidR="00590B76" w:rsidRPr="00F91CB3">
        <w:t xml:space="preserve">as a </w:t>
      </w:r>
      <w:r w:rsidR="00F16991" w:rsidRPr="00F91CB3">
        <w:t>sustainable budget</w:t>
      </w:r>
      <w:r w:rsidR="00590B76" w:rsidRPr="00F91CB3">
        <w:t xml:space="preserve"> strategy </w:t>
      </w:r>
      <w:r w:rsidR="00FE2C10" w:rsidRPr="00F91CB3">
        <w:t>for hosting, upgrades and administration</w:t>
      </w:r>
      <w:r w:rsidR="00590B76" w:rsidRPr="00F91CB3">
        <w:t xml:space="preserve">. </w:t>
      </w:r>
      <w:r w:rsidR="00F16991" w:rsidRPr="00F91CB3">
        <w:t>The c</w:t>
      </w:r>
      <w:r w:rsidR="00FE2C10" w:rsidRPr="00F91CB3">
        <w:t>hallenges</w:t>
      </w:r>
      <w:r w:rsidR="00F16991" w:rsidRPr="00F91CB3">
        <w:t xml:space="preserve"> of multiple universities managing one website </w:t>
      </w:r>
      <w:r w:rsidR="002225C0" w:rsidRPr="00F91CB3">
        <w:t>across</w:t>
      </w:r>
      <w:r w:rsidR="00F16991" w:rsidRPr="00F91CB3">
        <w:t xml:space="preserve"> </w:t>
      </w:r>
      <w:r w:rsidR="00406224">
        <w:t>two</w:t>
      </w:r>
      <w:r w:rsidR="00F16991" w:rsidRPr="00F91CB3">
        <w:t xml:space="preserve"> regions will be</w:t>
      </w:r>
      <w:r w:rsidR="00FE2C10" w:rsidRPr="00F91CB3">
        <w:t xml:space="preserve"> resolved </w:t>
      </w:r>
      <w:r w:rsidR="00590B76" w:rsidRPr="00F91CB3">
        <w:t>through</w:t>
      </w:r>
      <w:r w:rsidR="00FE2C10" w:rsidRPr="00F91CB3">
        <w:t xml:space="preserve"> the local </w:t>
      </w:r>
      <w:r w:rsidR="00590B76" w:rsidRPr="00F91CB3">
        <w:t xml:space="preserve">partner </w:t>
      </w:r>
      <w:r w:rsidR="00FE2C10" w:rsidRPr="00F91CB3">
        <w:t>relationships</w:t>
      </w:r>
      <w:r w:rsidR="00590B76" w:rsidRPr="00F91CB3">
        <w:t>.</w:t>
      </w:r>
    </w:p>
    <w:p w:rsidR="00924C27" w:rsidRPr="00F91CB3" w:rsidRDefault="00F91CB3" w:rsidP="00F91CB3">
      <w:pPr>
        <w:pStyle w:val="Healthtablecaption"/>
      </w:pPr>
      <w:r w:rsidRPr="00F91CB3">
        <w:t>Project a</w:t>
      </w:r>
      <w:r w:rsidR="00924C27" w:rsidRPr="00F91CB3">
        <w:t>ctivities</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609"/>
        <w:gridCol w:w="2444"/>
        <w:gridCol w:w="2776"/>
        <w:gridCol w:w="2278"/>
      </w:tblGrid>
      <w:tr w:rsidR="00924C27" w:rsidRPr="002B3649" w:rsidTr="006B46FE">
        <w:trPr>
          <w:trHeight w:val="20"/>
        </w:trPr>
        <w:tc>
          <w:tcPr>
            <w:tcW w:w="2609" w:type="dxa"/>
            <w:shd w:val="clear" w:color="auto" w:fill="0073CF"/>
          </w:tcPr>
          <w:p w:rsidR="00924C27" w:rsidRPr="00F91CB3" w:rsidRDefault="00F91CB3" w:rsidP="00F91CB3">
            <w:pPr>
              <w:pStyle w:val="Healthtablecolumnhead"/>
            </w:pPr>
            <w:r>
              <w:t>Project a</w:t>
            </w:r>
            <w:r w:rsidR="00924C27" w:rsidRPr="00F91CB3">
              <w:t>ctivity</w:t>
            </w:r>
          </w:p>
        </w:tc>
        <w:tc>
          <w:tcPr>
            <w:tcW w:w="2444" w:type="dxa"/>
            <w:shd w:val="clear" w:color="auto" w:fill="0073CF"/>
          </w:tcPr>
          <w:p w:rsidR="00924C27" w:rsidRPr="00F91CB3" w:rsidRDefault="00F91CB3" w:rsidP="00F91CB3">
            <w:pPr>
              <w:pStyle w:val="Healthtablecolumnhead"/>
            </w:pPr>
            <w:r>
              <w:t>Project d</w:t>
            </w:r>
            <w:r w:rsidR="00924C27" w:rsidRPr="00F91CB3">
              <w:t>eliverable</w:t>
            </w:r>
          </w:p>
        </w:tc>
        <w:tc>
          <w:tcPr>
            <w:tcW w:w="2776" w:type="dxa"/>
            <w:shd w:val="clear" w:color="auto" w:fill="0073CF"/>
          </w:tcPr>
          <w:p w:rsidR="00924C27" w:rsidRPr="00F91CB3" w:rsidRDefault="00F91CB3" w:rsidP="00F91CB3">
            <w:pPr>
              <w:pStyle w:val="Healthtablecolumnhead"/>
            </w:pPr>
            <w:r>
              <w:t>Due d</w:t>
            </w:r>
            <w:r w:rsidR="00924C27" w:rsidRPr="00F91CB3">
              <w:t>ate</w:t>
            </w:r>
          </w:p>
        </w:tc>
        <w:tc>
          <w:tcPr>
            <w:tcW w:w="2278" w:type="dxa"/>
            <w:shd w:val="clear" w:color="auto" w:fill="0073CF"/>
          </w:tcPr>
          <w:p w:rsidR="00924C27" w:rsidRPr="00F91CB3" w:rsidRDefault="00F91CB3" w:rsidP="00F91CB3">
            <w:pPr>
              <w:pStyle w:val="Healthtablecolumnhead"/>
            </w:pPr>
            <w:r>
              <w:t>Achieved / n</w:t>
            </w:r>
            <w:r w:rsidR="00924C27" w:rsidRPr="00F91CB3">
              <w:t>ot 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Establishment of SLE Governance Committee</w:t>
            </w:r>
          </w:p>
        </w:tc>
        <w:tc>
          <w:tcPr>
            <w:tcW w:w="2444" w:type="dxa"/>
            <w:shd w:val="clear" w:color="auto" w:fill="auto"/>
          </w:tcPr>
          <w:p w:rsidR="00F16E3D" w:rsidRPr="00F91CB3" w:rsidRDefault="00F16E3D" w:rsidP="00F91CB3">
            <w:pPr>
              <w:pStyle w:val="Healthtablebody"/>
            </w:pPr>
            <w:r w:rsidRPr="00F91CB3">
              <w:t>Progress and final reporting</w:t>
            </w:r>
          </w:p>
        </w:tc>
        <w:tc>
          <w:tcPr>
            <w:tcW w:w="2776" w:type="dxa"/>
            <w:shd w:val="clear" w:color="auto" w:fill="auto"/>
          </w:tcPr>
          <w:p w:rsidR="00F16E3D" w:rsidRPr="00F91CB3" w:rsidRDefault="00F16E3D" w:rsidP="00F91CB3">
            <w:pPr>
              <w:pStyle w:val="Healthtablebody"/>
            </w:pPr>
            <w:r w:rsidRPr="00F91CB3">
              <w:t>1 Jul</w:t>
            </w:r>
            <w:r w:rsidR="00590B76" w:rsidRPr="00F91CB3">
              <w:t>y 2012, 10 Dec</w:t>
            </w:r>
            <w:r w:rsidR="006B46FE">
              <w:t>ember</w:t>
            </w:r>
            <w:r w:rsidR="00590B76" w:rsidRPr="00F91CB3">
              <w:t xml:space="preserve"> 2012, 1 </w:t>
            </w:r>
            <w:r w:rsidR="00394AD6" w:rsidRPr="00F91CB3">
              <w:t xml:space="preserve">June </w:t>
            </w:r>
            <w:r w:rsidR="00590B76"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Establish a consistent and accessible method to book SLE facilities and equipment capable of reporting usage and availability</w:t>
            </w:r>
          </w:p>
        </w:tc>
        <w:tc>
          <w:tcPr>
            <w:tcW w:w="2444" w:type="dxa"/>
            <w:shd w:val="clear" w:color="auto" w:fill="auto"/>
          </w:tcPr>
          <w:p w:rsidR="00F16E3D" w:rsidRPr="00F91CB3" w:rsidRDefault="00F16E3D" w:rsidP="00F91CB3">
            <w:pPr>
              <w:pStyle w:val="Healthtablebody"/>
            </w:pPr>
            <w:r w:rsidRPr="00F91CB3">
              <w:t xml:space="preserve">SLE </w:t>
            </w:r>
            <w:r w:rsidR="00F108BC" w:rsidRPr="00F91CB3">
              <w:t>u</w:t>
            </w:r>
            <w:r w:rsidRPr="00F91CB3">
              <w:t>sage and availability statistics in progress and final reporting</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Implementation of the Regional Simulation</w:t>
            </w:r>
            <w:r w:rsidR="0057128F">
              <w:t xml:space="preserve"> </w:t>
            </w:r>
            <w:r w:rsidRPr="00F91CB3">
              <w:t>Out(In)reach Service</w:t>
            </w:r>
          </w:p>
        </w:tc>
        <w:tc>
          <w:tcPr>
            <w:tcW w:w="2444" w:type="dxa"/>
            <w:shd w:val="clear" w:color="auto" w:fill="auto"/>
          </w:tcPr>
          <w:p w:rsidR="00F16E3D" w:rsidRPr="00F91CB3" w:rsidRDefault="00F16E3D" w:rsidP="00F91CB3">
            <w:pPr>
              <w:pStyle w:val="Healthtablebody"/>
            </w:pPr>
            <w:r w:rsidRPr="00F91CB3">
              <w:t>Progress and final reporting on education provided to stakeholder services</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Employ 1FTE SLE Educator – Bendigo</w:t>
            </w:r>
          </w:p>
        </w:tc>
        <w:tc>
          <w:tcPr>
            <w:tcW w:w="2444" w:type="dxa"/>
            <w:shd w:val="clear" w:color="auto" w:fill="auto"/>
          </w:tcPr>
          <w:p w:rsidR="00F16E3D" w:rsidRPr="00F91CB3" w:rsidRDefault="00F16E3D" w:rsidP="00F91CB3">
            <w:pPr>
              <w:pStyle w:val="Healthtablebody"/>
            </w:pPr>
            <w:r w:rsidRPr="00F91CB3">
              <w:t>Progress and final reporting</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Employ 1FTE SLE Technician – Bendigo</w:t>
            </w:r>
          </w:p>
        </w:tc>
        <w:tc>
          <w:tcPr>
            <w:tcW w:w="2444" w:type="dxa"/>
            <w:shd w:val="clear" w:color="auto" w:fill="auto"/>
          </w:tcPr>
          <w:p w:rsidR="00F16E3D" w:rsidRPr="00F91CB3" w:rsidRDefault="00F16E3D" w:rsidP="00F91CB3">
            <w:pPr>
              <w:pStyle w:val="Healthtablebody"/>
            </w:pPr>
            <w:r w:rsidRPr="00F91CB3">
              <w:t>Progress and final reporting</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Employ 0.9 SLE Coordinator – Bendigo</w:t>
            </w:r>
          </w:p>
        </w:tc>
        <w:tc>
          <w:tcPr>
            <w:tcW w:w="2444" w:type="dxa"/>
            <w:shd w:val="clear" w:color="auto" w:fill="auto"/>
          </w:tcPr>
          <w:p w:rsidR="00F16E3D" w:rsidRPr="00F91CB3" w:rsidRDefault="00F16E3D" w:rsidP="00F91CB3">
            <w:pPr>
              <w:pStyle w:val="Healthtablebody"/>
            </w:pPr>
            <w:r w:rsidRPr="00F91CB3">
              <w:t>Progress and final reporting</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Employ 0.5 SLE Technician – Mildura</w:t>
            </w:r>
          </w:p>
        </w:tc>
        <w:tc>
          <w:tcPr>
            <w:tcW w:w="2444" w:type="dxa"/>
            <w:shd w:val="clear" w:color="auto" w:fill="auto"/>
          </w:tcPr>
          <w:p w:rsidR="00F16E3D" w:rsidRPr="00F91CB3" w:rsidRDefault="00F16E3D" w:rsidP="00F91CB3">
            <w:pPr>
              <w:pStyle w:val="Healthtablebody"/>
            </w:pPr>
            <w:r w:rsidRPr="00F91CB3">
              <w:t>Progress and final reporting</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r w:rsidR="00F16E3D" w:rsidRPr="002B3649" w:rsidTr="006B46FE">
        <w:trPr>
          <w:trHeight w:val="20"/>
        </w:trPr>
        <w:tc>
          <w:tcPr>
            <w:tcW w:w="2609" w:type="dxa"/>
            <w:shd w:val="clear" w:color="auto" w:fill="auto"/>
          </w:tcPr>
          <w:p w:rsidR="00F16E3D" w:rsidRPr="00F91CB3" w:rsidRDefault="00F16E3D" w:rsidP="00F91CB3">
            <w:pPr>
              <w:pStyle w:val="Healthtablebody"/>
            </w:pPr>
            <w:r w:rsidRPr="00F91CB3">
              <w:t>Employ 1FTE SLE Educator</w:t>
            </w:r>
            <w:r w:rsidR="0057128F">
              <w:t xml:space="preserve"> </w:t>
            </w:r>
            <w:r w:rsidRPr="00F91CB3">
              <w:t>- Mildura</w:t>
            </w:r>
          </w:p>
        </w:tc>
        <w:tc>
          <w:tcPr>
            <w:tcW w:w="2444" w:type="dxa"/>
            <w:shd w:val="clear" w:color="auto" w:fill="auto"/>
          </w:tcPr>
          <w:p w:rsidR="00F16E3D" w:rsidRPr="00F91CB3" w:rsidRDefault="00F16E3D" w:rsidP="00F91CB3">
            <w:pPr>
              <w:pStyle w:val="Healthtablebody"/>
            </w:pPr>
            <w:r w:rsidRPr="00F91CB3">
              <w:t>Progress and final reporting</w:t>
            </w:r>
          </w:p>
        </w:tc>
        <w:tc>
          <w:tcPr>
            <w:tcW w:w="2776" w:type="dxa"/>
            <w:shd w:val="clear" w:color="auto" w:fill="auto"/>
          </w:tcPr>
          <w:p w:rsidR="00F16E3D" w:rsidRPr="00F91CB3" w:rsidRDefault="00F16E3D" w:rsidP="00F91CB3">
            <w:pPr>
              <w:pStyle w:val="Healthtablebody"/>
            </w:pPr>
            <w:r w:rsidRPr="00F91CB3">
              <w:t>1 July 2012, 10 Dec</w:t>
            </w:r>
            <w:r w:rsidR="006B46FE">
              <w:t>ember</w:t>
            </w:r>
            <w:r w:rsidRPr="00F91CB3">
              <w:t xml:space="preserve"> 2012, 1 </w:t>
            </w:r>
            <w:r w:rsidR="00394AD6" w:rsidRPr="00F91CB3">
              <w:t xml:space="preserve">June </w:t>
            </w:r>
            <w:r w:rsidRPr="00F91CB3">
              <w:t>2013</w:t>
            </w:r>
          </w:p>
        </w:tc>
        <w:tc>
          <w:tcPr>
            <w:tcW w:w="2278" w:type="dxa"/>
            <w:shd w:val="clear" w:color="auto" w:fill="auto"/>
          </w:tcPr>
          <w:p w:rsidR="00F16E3D" w:rsidRPr="00F91CB3" w:rsidRDefault="00F16E3D" w:rsidP="00F91CB3">
            <w:pPr>
              <w:pStyle w:val="Healthtablebody"/>
            </w:pPr>
            <w:r w:rsidRPr="00F91CB3">
              <w:t>Achieved</w:t>
            </w:r>
          </w:p>
        </w:tc>
      </w:tr>
    </w:tbl>
    <w:p w:rsidR="00924C27" w:rsidRPr="006B46FE" w:rsidRDefault="00924C27" w:rsidP="006B46FE">
      <w:pPr>
        <w:pStyle w:val="Healthheading2"/>
      </w:pPr>
      <w:r w:rsidRPr="006B46FE">
        <w:t>Project outcomes and discussion</w:t>
      </w:r>
    </w:p>
    <w:p w:rsidR="00F108BC" w:rsidRPr="006B46FE" w:rsidRDefault="00F847F9" w:rsidP="006B46FE">
      <w:pPr>
        <w:pStyle w:val="Healthbody"/>
      </w:pPr>
      <w:r w:rsidRPr="006B46FE">
        <w:t>Overall</w:t>
      </w:r>
      <w:r w:rsidR="00F108BC" w:rsidRPr="006B46FE">
        <w:t>,</w:t>
      </w:r>
      <w:r w:rsidRPr="006B46FE">
        <w:t xml:space="preserve"> the LM</w:t>
      </w:r>
      <w:r w:rsidR="00406224">
        <w:t xml:space="preserve"> </w:t>
      </w:r>
      <w:r w:rsidRPr="006B46FE">
        <w:t>SLE project was successful. The key elements attributed to this success are</w:t>
      </w:r>
      <w:r w:rsidR="00F108BC" w:rsidRPr="006B46FE">
        <w:t>:</w:t>
      </w:r>
    </w:p>
    <w:p w:rsidR="00F108BC" w:rsidRPr="006B46FE" w:rsidRDefault="00406224" w:rsidP="006B46FE">
      <w:pPr>
        <w:pStyle w:val="Healthbullet1"/>
      </w:pPr>
      <w:r>
        <w:t>T</w:t>
      </w:r>
      <w:r w:rsidR="00F847F9" w:rsidRPr="006B46FE">
        <w:t xml:space="preserve">he engagement of </w:t>
      </w:r>
      <w:r>
        <w:t>twenty</w:t>
      </w:r>
      <w:r w:rsidR="00F108BC" w:rsidRPr="006B46FE">
        <w:t xml:space="preserve"> health services in the region</w:t>
      </w:r>
      <w:r>
        <w:t>,</w:t>
      </w:r>
    </w:p>
    <w:p w:rsidR="00F108BC" w:rsidRPr="006B46FE" w:rsidRDefault="00F847F9" w:rsidP="006B46FE">
      <w:pPr>
        <w:pStyle w:val="Healthbullet1"/>
      </w:pPr>
      <w:r w:rsidRPr="006B46FE">
        <w:t>close working relationships wit</w:t>
      </w:r>
      <w:r w:rsidR="00CA49E0" w:rsidRPr="006B46FE">
        <w:t xml:space="preserve">h the </w:t>
      </w:r>
      <w:r w:rsidR="00364ABC">
        <w:t>LM CPN</w:t>
      </w:r>
      <w:r w:rsidR="00406224">
        <w:t>,</w:t>
      </w:r>
    </w:p>
    <w:p w:rsidR="00F108BC" w:rsidRPr="006B46FE" w:rsidRDefault="00F847F9" w:rsidP="006B46FE">
      <w:pPr>
        <w:pStyle w:val="Healthbullet1"/>
      </w:pPr>
      <w:r w:rsidRPr="006B46FE">
        <w:t>the deliberate set up of two hubs to cover the region via Mildura and Bendigo</w:t>
      </w:r>
      <w:r w:rsidR="00406224">
        <w:t>; and</w:t>
      </w:r>
    </w:p>
    <w:p w:rsidR="00F847F9" w:rsidRPr="006B46FE" w:rsidRDefault="00F847F9" w:rsidP="006B46FE">
      <w:pPr>
        <w:pStyle w:val="Healthbullet1lastline"/>
      </w:pPr>
      <w:proofErr w:type="gramStart"/>
      <w:r w:rsidRPr="006B46FE">
        <w:t>sound</w:t>
      </w:r>
      <w:proofErr w:type="gramEnd"/>
      <w:r w:rsidRPr="006B46FE">
        <w:t xml:space="preserve"> pedagogy being applied to the sessions delivered by expert and highly trained university educator teams.</w:t>
      </w:r>
    </w:p>
    <w:p w:rsidR="00B076DB" w:rsidRPr="006B46FE" w:rsidRDefault="00B076DB" w:rsidP="006B46FE">
      <w:pPr>
        <w:pStyle w:val="Healthbody"/>
      </w:pPr>
      <w:r w:rsidRPr="006B46FE">
        <w:t>Overall</w:t>
      </w:r>
      <w:r w:rsidR="00F108BC" w:rsidRPr="006B46FE">
        <w:t>,</w:t>
      </w:r>
      <w:r w:rsidRPr="006B46FE">
        <w:t xml:space="preserve"> this project enabled health facilities to:</w:t>
      </w:r>
    </w:p>
    <w:p w:rsidR="00B076DB" w:rsidRPr="006B46FE" w:rsidRDefault="00406224" w:rsidP="00406224">
      <w:pPr>
        <w:pStyle w:val="Healthbullet1"/>
      </w:pPr>
      <w:r>
        <w:t>U</w:t>
      </w:r>
      <w:r w:rsidR="00B076DB" w:rsidRPr="006B46FE">
        <w:t>til</w:t>
      </w:r>
      <w:r w:rsidR="00F108BC" w:rsidRPr="006B46FE">
        <w:t>is</w:t>
      </w:r>
      <w:r w:rsidR="00B076DB" w:rsidRPr="006B46FE">
        <w:t>e already purchased simulation equipment</w:t>
      </w:r>
      <w:r>
        <w:t>,</w:t>
      </w:r>
    </w:p>
    <w:p w:rsidR="00B076DB" w:rsidRPr="006B46FE" w:rsidRDefault="00B076DB" w:rsidP="006B46FE">
      <w:pPr>
        <w:pStyle w:val="Healthbullet1"/>
      </w:pPr>
      <w:r w:rsidRPr="006B46FE">
        <w:t>increase clinical training capacity</w:t>
      </w:r>
      <w:r w:rsidR="00406224">
        <w:t>,</w:t>
      </w:r>
    </w:p>
    <w:p w:rsidR="00B076DB" w:rsidRPr="006B46FE" w:rsidRDefault="00B076DB" w:rsidP="006B46FE">
      <w:pPr>
        <w:pStyle w:val="Healthbullet1"/>
      </w:pPr>
      <w:r w:rsidRPr="006B46FE">
        <w:t>identify the e</w:t>
      </w:r>
      <w:r w:rsidR="00406224">
        <w:t>ducational needs of their staff,</w:t>
      </w:r>
    </w:p>
    <w:p w:rsidR="00B076DB" w:rsidRPr="006B46FE" w:rsidRDefault="00B076DB" w:rsidP="006B46FE">
      <w:pPr>
        <w:pStyle w:val="Healthbullet1"/>
      </w:pPr>
      <w:r w:rsidRPr="006B46FE">
        <w:t>through continuous improvement</w:t>
      </w:r>
      <w:r w:rsidR="00CA49E0" w:rsidRPr="006B46FE">
        <w:t>,</w:t>
      </w:r>
      <w:r w:rsidRPr="006B46FE">
        <w:t xml:space="preserve"> increase the quality of their education</w:t>
      </w:r>
      <w:r w:rsidR="00406224">
        <w:t>;</w:t>
      </w:r>
      <w:r w:rsidR="00CA49E0" w:rsidRPr="006B46FE">
        <w:t xml:space="preserve"> and</w:t>
      </w:r>
    </w:p>
    <w:p w:rsidR="00CA49E0" w:rsidRPr="006B46FE" w:rsidRDefault="00B076DB" w:rsidP="006B46FE">
      <w:pPr>
        <w:pStyle w:val="Healthbullet1lastline"/>
      </w:pPr>
      <w:proofErr w:type="gramStart"/>
      <w:r w:rsidRPr="006B46FE">
        <w:t>deliver</w:t>
      </w:r>
      <w:proofErr w:type="gramEnd"/>
      <w:r w:rsidRPr="006B46FE">
        <w:t xml:space="preserve"> simulation education locally</w:t>
      </w:r>
      <w:r w:rsidR="00CA49E0" w:rsidRPr="006B46FE">
        <w:t>,</w:t>
      </w:r>
      <w:r w:rsidRPr="006B46FE">
        <w:t xml:space="preserve"> preventing unnecessary travel demands</w:t>
      </w:r>
      <w:r w:rsidR="00406224">
        <w:t>.</w:t>
      </w:r>
    </w:p>
    <w:p w:rsidR="00CA49E0" w:rsidRPr="006B46FE" w:rsidRDefault="00B076DB" w:rsidP="006B46FE">
      <w:pPr>
        <w:pStyle w:val="Healthbody"/>
      </w:pPr>
      <w:r w:rsidRPr="006B46FE">
        <w:t>The major advantage which has been identified most importantly is the ability to deliver higher quality care to patients</w:t>
      </w:r>
      <w:r w:rsidR="00C72331" w:rsidRPr="006B46FE">
        <w:t>.</w:t>
      </w:r>
    </w:p>
    <w:p w:rsidR="00C72331" w:rsidRPr="006B46FE" w:rsidRDefault="006B46FE" w:rsidP="006B46FE">
      <w:pPr>
        <w:pStyle w:val="Healthheading3"/>
      </w:pPr>
      <w:r>
        <w:t>Summary</w:t>
      </w:r>
    </w:p>
    <w:p w:rsidR="00C72331" w:rsidRPr="006B46FE" w:rsidRDefault="00406224" w:rsidP="006B46FE">
      <w:pPr>
        <w:pStyle w:val="Healthbody"/>
      </w:pPr>
      <w:r>
        <w:t xml:space="preserve">The LM </w:t>
      </w:r>
      <w:r w:rsidR="00C72331" w:rsidRPr="006B46FE">
        <w:t xml:space="preserve">SLE </w:t>
      </w:r>
      <w:r w:rsidR="00364ABC">
        <w:t>p</w:t>
      </w:r>
      <w:r w:rsidR="00C72331" w:rsidRPr="006B46FE">
        <w:t>roject demonstrated it has increased the use of simulated learning modalities in clinical training for entry</w:t>
      </w:r>
      <w:r w:rsidR="00364ABC">
        <w:t>-</w:t>
      </w:r>
      <w:r w:rsidR="00C72331" w:rsidRPr="006B46FE">
        <w:t>level health professionals, postgraduate and vocational education and training heal</w:t>
      </w:r>
      <w:r w:rsidR="00364ABC">
        <w:t>th professionals overall from 1243 participants in 2011 to 8</w:t>
      </w:r>
      <w:r w:rsidR="00C72331" w:rsidRPr="006B46FE">
        <w:t>413 participants having atten</w:t>
      </w:r>
      <w:r w:rsidR="00CA49E0" w:rsidRPr="006B46FE">
        <w:t xml:space="preserve">ded SLE education sessions of </w:t>
      </w:r>
      <w:r w:rsidR="001B009A" w:rsidRPr="006B46FE">
        <w:t xml:space="preserve">two </w:t>
      </w:r>
      <w:r w:rsidR="00C72331" w:rsidRPr="006B46FE">
        <w:t>hours or more by June 2013</w:t>
      </w:r>
      <w:r w:rsidR="00CA49E0" w:rsidRPr="006B46FE">
        <w:t>.</w:t>
      </w:r>
    </w:p>
    <w:p w:rsidR="00CA49E0" w:rsidRPr="006B46FE" w:rsidRDefault="00A079D7" w:rsidP="006B46FE">
      <w:pPr>
        <w:pStyle w:val="Healthbody"/>
      </w:pPr>
      <w:r w:rsidRPr="006B46FE">
        <w:t>The L</w:t>
      </w:r>
      <w:r w:rsidR="00364ABC">
        <w:t xml:space="preserve">M </w:t>
      </w:r>
      <w:r w:rsidRPr="006B46FE">
        <w:t xml:space="preserve">SLE </w:t>
      </w:r>
      <w:r w:rsidR="00364ABC">
        <w:t>p</w:t>
      </w:r>
      <w:r w:rsidRPr="006B46FE">
        <w:t>roject established education teams who were able to successfully optimi</w:t>
      </w:r>
      <w:r w:rsidR="00CA49E0" w:rsidRPr="006B46FE">
        <w:t>s</w:t>
      </w:r>
      <w:r w:rsidRPr="006B46FE">
        <w:t>e</w:t>
      </w:r>
      <w:r w:rsidR="00C72331" w:rsidRPr="006B46FE">
        <w:t xml:space="preserve"> clinical training experiences through the use of simulated environments to develop clinical skills and competencies required by health professionals</w:t>
      </w:r>
      <w:r w:rsidRPr="006B46FE">
        <w:t xml:space="preserve"> on both </w:t>
      </w:r>
      <w:r w:rsidR="00CA49E0" w:rsidRPr="006B46FE">
        <w:t xml:space="preserve">an outreach and </w:t>
      </w:r>
      <w:r w:rsidR="0057128F">
        <w:t>in-reach</w:t>
      </w:r>
      <w:r w:rsidRPr="006B46FE">
        <w:t xml:space="preserve"> basis</w:t>
      </w:r>
      <w:r w:rsidR="00C72331" w:rsidRPr="006B46FE">
        <w:t>.</w:t>
      </w:r>
      <w:r w:rsidRPr="006B46FE">
        <w:t xml:space="preserve"> This component of the project brief was addressed</w:t>
      </w:r>
      <w:r w:rsidR="00CA49E0" w:rsidRPr="006B46FE">
        <w:t xml:space="preserve"> by thorough needs analysis, bi-</w:t>
      </w:r>
      <w:r w:rsidRPr="006B46FE">
        <w:t xml:space="preserve">annual visits to all </w:t>
      </w:r>
      <w:r w:rsidR="00364ABC">
        <w:t>twenty</w:t>
      </w:r>
      <w:r w:rsidRPr="006B46FE">
        <w:t xml:space="preserve"> health services to discuss and plan training schedules, the development of a purpose designed curriculum for the </w:t>
      </w:r>
      <w:r w:rsidR="00CA49E0" w:rsidRPr="006B46FE">
        <w:t>‘</w:t>
      </w:r>
      <w:r w:rsidRPr="006B46FE">
        <w:t>deteriorating patient</w:t>
      </w:r>
      <w:r w:rsidR="00CA49E0" w:rsidRPr="006B46FE">
        <w:t>’</w:t>
      </w:r>
      <w:r w:rsidRPr="006B46FE">
        <w:t>, pre and post</w:t>
      </w:r>
      <w:r w:rsidR="00364ABC">
        <w:t>-</w:t>
      </w:r>
      <w:r w:rsidRPr="006B46FE">
        <w:t>simulation sessions, SLE session evaluation and participant feedback f</w:t>
      </w:r>
      <w:r w:rsidR="00CA49E0" w:rsidRPr="006B46FE">
        <w:t>rom sessions. The extensive out</w:t>
      </w:r>
      <w:r w:rsidRPr="006B46FE">
        <w:t xml:space="preserve">reach efforts ensured the actual delivery targets were met for this project. </w:t>
      </w:r>
    </w:p>
    <w:p w:rsidR="00C72331" w:rsidRPr="006B46FE" w:rsidRDefault="00364ABC" w:rsidP="006B46FE">
      <w:pPr>
        <w:pStyle w:val="Healthbody"/>
      </w:pPr>
      <w:r>
        <w:t xml:space="preserve">The LM </w:t>
      </w:r>
      <w:r w:rsidR="00C72331" w:rsidRPr="006B46FE">
        <w:t xml:space="preserve">SLE </w:t>
      </w:r>
      <w:r>
        <w:t>p</w:t>
      </w:r>
      <w:r w:rsidR="00C72331" w:rsidRPr="006B46FE">
        <w:t>roject</w:t>
      </w:r>
      <w:r w:rsidR="00CA49E0" w:rsidRPr="006B46FE">
        <w:t>,</w:t>
      </w:r>
      <w:r w:rsidR="00C72331" w:rsidRPr="006B46FE">
        <w:t xml:space="preserve"> </w:t>
      </w:r>
      <w:r w:rsidR="006E67E5" w:rsidRPr="006B46FE">
        <w:t xml:space="preserve">through the additional assistance of </w:t>
      </w:r>
      <w:r w:rsidR="00CA49E0" w:rsidRPr="006B46FE">
        <w:t>‘</w:t>
      </w:r>
      <w:r>
        <w:t>c</w:t>
      </w:r>
      <w:r w:rsidR="006E67E5" w:rsidRPr="006B46FE">
        <w:t xml:space="preserve">apital </w:t>
      </w:r>
      <w:r>
        <w:t>and</w:t>
      </w:r>
      <w:r w:rsidR="006E67E5" w:rsidRPr="006B46FE">
        <w:t xml:space="preserve"> </w:t>
      </w:r>
      <w:r>
        <w:t>e</w:t>
      </w:r>
      <w:r w:rsidR="006E67E5" w:rsidRPr="006B46FE">
        <w:t>stablishment</w:t>
      </w:r>
      <w:r w:rsidR="00CA49E0" w:rsidRPr="006B46FE">
        <w:t>’</w:t>
      </w:r>
      <w:r w:rsidR="006E67E5" w:rsidRPr="006B46FE">
        <w:t xml:space="preserve"> funding</w:t>
      </w:r>
      <w:r w:rsidR="00CA49E0" w:rsidRPr="006B46FE">
        <w:t>,</w:t>
      </w:r>
      <w:r w:rsidR="006E67E5" w:rsidRPr="006B46FE">
        <w:t xml:space="preserve"> has invested in the building of a Clinical Skills and Simulation Centre at Monash Bendigo via the capital works sub project. The Mildura and Bendigo </w:t>
      </w:r>
      <w:r w:rsidR="00CA49E0" w:rsidRPr="006B46FE">
        <w:t>h</w:t>
      </w:r>
      <w:r w:rsidR="006E67E5" w:rsidRPr="006B46FE">
        <w:t>ubs were provided funding for key assets such as mannequins, AV technologies and other equi</w:t>
      </w:r>
      <w:r w:rsidR="00CA49E0" w:rsidRPr="006B46FE">
        <w:t>pment essential to providing hi-</w:t>
      </w:r>
      <w:r w:rsidR="006E67E5" w:rsidRPr="006B46FE">
        <w:t>fideli</w:t>
      </w:r>
      <w:r w:rsidR="00CA49E0" w:rsidRPr="006B46FE">
        <w:t>ty as well as low and medium-</w:t>
      </w:r>
      <w:r w:rsidR="006E67E5" w:rsidRPr="006B46FE">
        <w:t>fidelity simulation training sessions. Other sources of funding have assisted both universities to provide</w:t>
      </w:r>
      <w:r w:rsidR="00C72331" w:rsidRPr="006B46FE">
        <w:t xml:space="preserve"> equity of access for students to simulated training</w:t>
      </w:r>
      <w:r>
        <w:t xml:space="preserve"> experiences in regional, rural</w:t>
      </w:r>
      <w:r w:rsidR="00C72331" w:rsidRPr="006B46FE">
        <w:t xml:space="preserve"> and remote settings</w:t>
      </w:r>
      <w:r w:rsidR="006E67E5" w:rsidRPr="006B46FE">
        <w:t xml:space="preserve"> from late 2012</w:t>
      </w:r>
      <w:r w:rsidR="00C72331" w:rsidRPr="006B46FE">
        <w:t>.</w:t>
      </w:r>
      <w:r w:rsidR="006E67E5" w:rsidRPr="006B46FE">
        <w:t xml:space="preserve"> The schools for rural health across universities also have a</w:t>
      </w:r>
      <w:r w:rsidR="00A079D7" w:rsidRPr="006B46FE">
        <w:t xml:space="preserve"> complimentary and</w:t>
      </w:r>
      <w:r w:rsidR="006E67E5" w:rsidRPr="006B46FE">
        <w:t xml:space="preserve"> ongoing brief to provide access and equity for their students based in rural sites.</w:t>
      </w:r>
    </w:p>
    <w:p w:rsidR="00707929" w:rsidRPr="006B46FE" w:rsidRDefault="0008477A" w:rsidP="006B46FE">
      <w:pPr>
        <w:pStyle w:val="Healthbody"/>
      </w:pPr>
      <w:r w:rsidRPr="006B46FE">
        <w:t>The project has clearly i</w:t>
      </w:r>
      <w:r w:rsidR="00C72331" w:rsidRPr="006B46FE">
        <w:t>mproved quality and consistency of clinical training</w:t>
      </w:r>
      <w:r w:rsidRPr="006B46FE">
        <w:t xml:space="preserve"> </w:t>
      </w:r>
      <w:r w:rsidR="00CA49E0" w:rsidRPr="006B46FE">
        <w:t>through up-</w:t>
      </w:r>
      <w:r w:rsidR="00707929" w:rsidRPr="006B46FE">
        <w:t>skilling educator</w:t>
      </w:r>
      <w:r w:rsidR="00CA49E0" w:rsidRPr="006B46FE">
        <w:t>s</w:t>
      </w:r>
      <w:r w:rsidR="00707929" w:rsidRPr="006B46FE">
        <w:t xml:space="preserve"> (bot</w:t>
      </w:r>
      <w:r w:rsidR="00CA49E0" w:rsidRPr="006B46FE">
        <w:t xml:space="preserve">h </w:t>
      </w:r>
      <w:r w:rsidR="00364ABC">
        <w:t>h</w:t>
      </w:r>
      <w:r w:rsidR="00CA49E0" w:rsidRPr="006B46FE">
        <w:t xml:space="preserve">ealth </w:t>
      </w:r>
      <w:r w:rsidR="00364ABC">
        <w:t>s</w:t>
      </w:r>
      <w:r w:rsidR="00CA49E0" w:rsidRPr="006B46FE">
        <w:t xml:space="preserve">ervice and </w:t>
      </w:r>
      <w:r w:rsidR="00364ABC">
        <w:t>u</w:t>
      </w:r>
      <w:r w:rsidR="00CA49E0" w:rsidRPr="006B46FE">
        <w:t>niversity-</w:t>
      </w:r>
      <w:r w:rsidR="00707929" w:rsidRPr="006B46FE">
        <w:t>based) and technical staff via specific training e.g. N</w:t>
      </w:r>
      <w:r w:rsidR="00CA49E0" w:rsidRPr="006B46FE">
        <w:t>HET-Sim; the purchase of state-of-</w:t>
      </w:r>
      <w:r w:rsidR="00707929" w:rsidRPr="006B46FE">
        <w:t>the</w:t>
      </w:r>
      <w:r w:rsidR="00CA49E0" w:rsidRPr="006B46FE">
        <w:t>-</w:t>
      </w:r>
      <w:r w:rsidR="00707929" w:rsidRPr="006B46FE">
        <w:t>art equipment through this project; AV technologies and the new built environments with well-designed simulation spaces within teaching cent</w:t>
      </w:r>
      <w:r w:rsidR="00CA49E0" w:rsidRPr="006B46FE">
        <w:t>re</w:t>
      </w:r>
      <w:r w:rsidR="00707929" w:rsidRPr="006B46FE">
        <w:t xml:space="preserve">s across the LM </w:t>
      </w:r>
      <w:r w:rsidR="00CA49E0" w:rsidRPr="006B46FE">
        <w:t>r</w:t>
      </w:r>
      <w:r w:rsidR="00707929" w:rsidRPr="006B46FE">
        <w:t xml:space="preserve">egion. </w:t>
      </w:r>
    </w:p>
    <w:p w:rsidR="00364ABC" w:rsidRDefault="00364ABC">
      <w:pPr>
        <w:rPr>
          <w:rFonts w:ascii="Arial" w:eastAsia="MS Mincho" w:hAnsi="Arial"/>
          <w:b/>
          <w:sz w:val="28"/>
          <w:lang w:val="en-AU"/>
        </w:rPr>
      </w:pPr>
      <w:r>
        <w:br w:type="page"/>
      </w:r>
    </w:p>
    <w:p w:rsidR="002407EC" w:rsidRPr="006B46FE" w:rsidRDefault="00707929" w:rsidP="006B46FE">
      <w:pPr>
        <w:pStyle w:val="Healthheading2"/>
      </w:pPr>
      <w:r w:rsidRPr="006B46FE">
        <w:t>Project</w:t>
      </w:r>
      <w:r w:rsidR="006B46FE" w:rsidRPr="006B46FE">
        <w:t xml:space="preserve"> o</w:t>
      </w:r>
      <w:r w:rsidR="003449DB" w:rsidRPr="006B46FE">
        <w:t>bjectives</w:t>
      </w:r>
    </w:p>
    <w:p w:rsidR="006B46FE" w:rsidRDefault="000A5AF3" w:rsidP="006B46FE">
      <w:pPr>
        <w:pStyle w:val="Healthheading3"/>
      </w:pPr>
      <w:r w:rsidRPr="006B46FE">
        <w:t xml:space="preserve">Objective </w:t>
      </w:r>
      <w:r w:rsidR="003449DB" w:rsidRPr="006B46FE">
        <w:t>1</w:t>
      </w:r>
    </w:p>
    <w:p w:rsidR="00394AD6" w:rsidRPr="006B46FE" w:rsidRDefault="003449DB" w:rsidP="006B46FE">
      <w:pPr>
        <w:pStyle w:val="Healthbody"/>
      </w:pPr>
      <w:r w:rsidRPr="006B46FE">
        <w:t>To supplement the current SLE capacity (human resources, infrastructure and equipment), already available in participating health service and educational institutions, with the additional resources needed to establish an integrated SLE for the L</w:t>
      </w:r>
      <w:r w:rsidR="00CA49E0" w:rsidRPr="006B46FE">
        <w:t>M</w:t>
      </w:r>
      <w:r w:rsidRPr="006B46FE">
        <w:t xml:space="preserve"> region that includes hubs in Bendigo and Mildura, and an out(in)reach program for health services throughout the region. </w:t>
      </w:r>
    </w:p>
    <w:p w:rsidR="006B46FE" w:rsidRDefault="006B46FE" w:rsidP="006B46FE">
      <w:pPr>
        <w:pStyle w:val="Healthheading4"/>
      </w:pPr>
      <w:r>
        <w:t>Outcome 1</w:t>
      </w:r>
    </w:p>
    <w:p w:rsidR="002A5BB7" w:rsidRPr="006B46FE" w:rsidRDefault="000A5AF3" w:rsidP="006B46FE">
      <w:pPr>
        <w:pStyle w:val="Healthbody"/>
      </w:pPr>
      <w:r w:rsidRPr="006B46FE">
        <w:t xml:space="preserve">The </w:t>
      </w:r>
      <w:r w:rsidR="00364ABC">
        <w:t>LM SLE</w:t>
      </w:r>
      <w:r w:rsidRPr="006B46FE">
        <w:t xml:space="preserve"> project expended all funds on the establishment and resourcing of the two regional hubs in Mildura and Bendigo as proposed</w:t>
      </w:r>
      <w:r w:rsidR="002225C0" w:rsidRPr="006B46FE">
        <w:t xml:space="preserve"> in the combined fixed term and capital </w:t>
      </w:r>
      <w:r w:rsidR="00364ABC">
        <w:t>and</w:t>
      </w:r>
      <w:r w:rsidR="002225C0" w:rsidRPr="006B46FE">
        <w:t xml:space="preserve"> establishment project funds.</w:t>
      </w:r>
      <w:r w:rsidR="00E50780" w:rsidRPr="006B46FE">
        <w:t xml:space="preserve"> </w:t>
      </w:r>
    </w:p>
    <w:p w:rsidR="006B46FE" w:rsidRDefault="00040CDE" w:rsidP="00EB53A7">
      <w:pPr>
        <w:pStyle w:val="Healthheading3"/>
      </w:pPr>
      <w:r w:rsidRPr="006B46FE">
        <w:t xml:space="preserve">Objective </w:t>
      </w:r>
      <w:r w:rsidR="003449DB" w:rsidRPr="006B46FE">
        <w:t>2</w:t>
      </w:r>
    </w:p>
    <w:p w:rsidR="00394AD6" w:rsidRPr="006B46FE" w:rsidRDefault="003449DB" w:rsidP="006B46FE">
      <w:pPr>
        <w:pStyle w:val="Healthbody"/>
      </w:pPr>
      <w:r w:rsidRPr="006B46FE">
        <w:t xml:space="preserve">To resource the Bendigo and Mildura SLE hubs with human resources, infrastructure and equipment of equivalent quality to those available to health professional students and health service communities in metropolitan and regional Victoria outside the </w:t>
      </w:r>
      <w:r w:rsidR="00364ABC">
        <w:t>LM CPN</w:t>
      </w:r>
      <w:r w:rsidRPr="006B46FE">
        <w:t xml:space="preserve">. </w:t>
      </w:r>
    </w:p>
    <w:p w:rsidR="006B46FE" w:rsidRDefault="006B46FE" w:rsidP="00EB53A7">
      <w:pPr>
        <w:pStyle w:val="Healthheading4"/>
      </w:pPr>
      <w:r>
        <w:t>Outcome 2</w:t>
      </w:r>
    </w:p>
    <w:p w:rsidR="002A5BB7" w:rsidRPr="006B46FE" w:rsidRDefault="00BE2B90" w:rsidP="006B46FE">
      <w:pPr>
        <w:pStyle w:val="Healthbody"/>
      </w:pPr>
      <w:r w:rsidRPr="006B46FE">
        <w:t>Site visits to make c</w:t>
      </w:r>
      <w:r w:rsidR="002225C0" w:rsidRPr="006B46FE">
        <w:t xml:space="preserve">omparisons </w:t>
      </w:r>
      <w:r w:rsidRPr="006B46FE">
        <w:t xml:space="preserve">and canvassing </w:t>
      </w:r>
      <w:r w:rsidR="002225C0" w:rsidRPr="006B46FE">
        <w:t xml:space="preserve">of resources across </w:t>
      </w:r>
      <w:r w:rsidRPr="006B46FE">
        <w:t>other CP</w:t>
      </w:r>
      <w:r w:rsidR="002225C0" w:rsidRPr="006B46FE">
        <w:t>N regions was carried out</w:t>
      </w:r>
      <w:r w:rsidR="002A5BB7" w:rsidRPr="006B46FE">
        <w:t>,</w:t>
      </w:r>
      <w:r w:rsidR="00E50780" w:rsidRPr="006B46FE">
        <w:t xml:space="preserve"> professional development</w:t>
      </w:r>
      <w:r w:rsidR="002A5BB7" w:rsidRPr="006B46FE">
        <w:t xml:space="preserve"> was promoted</w:t>
      </w:r>
      <w:r w:rsidR="00E50780" w:rsidRPr="006B46FE">
        <w:t xml:space="preserve"> and all project educators </w:t>
      </w:r>
      <w:r w:rsidR="00B076DB" w:rsidRPr="006B46FE">
        <w:t xml:space="preserve">attended </w:t>
      </w:r>
      <w:r w:rsidR="002A5BB7" w:rsidRPr="006B46FE">
        <w:t>the NHET-</w:t>
      </w:r>
      <w:r w:rsidRPr="006B46FE">
        <w:t>Sim</w:t>
      </w:r>
      <w:r w:rsidR="002225C0" w:rsidRPr="006B46FE">
        <w:t xml:space="preserve"> training</w:t>
      </w:r>
      <w:r w:rsidR="006B46FE" w:rsidRPr="006B46FE">
        <w:t>.</w:t>
      </w:r>
    </w:p>
    <w:p w:rsidR="006B46FE" w:rsidRDefault="00040CDE" w:rsidP="00EB53A7">
      <w:pPr>
        <w:pStyle w:val="Healthheading3"/>
      </w:pPr>
      <w:r w:rsidRPr="006B46FE">
        <w:t xml:space="preserve">Objective </w:t>
      </w:r>
      <w:r w:rsidR="003449DB" w:rsidRPr="006B46FE">
        <w:t>3</w:t>
      </w:r>
    </w:p>
    <w:p w:rsidR="00394AD6" w:rsidRPr="006B46FE" w:rsidRDefault="003449DB" w:rsidP="006B46FE">
      <w:pPr>
        <w:pStyle w:val="Healthbody"/>
      </w:pPr>
      <w:r w:rsidRPr="006B46FE">
        <w:t xml:space="preserve">To service the anticipated simulation educational needs of the consortium partners in the </w:t>
      </w:r>
      <w:r w:rsidR="00364ABC">
        <w:t>LM CPN</w:t>
      </w:r>
      <w:r w:rsidRPr="006B46FE">
        <w:t xml:space="preserve"> using an efficient and appropriate hub-and-spoke model. </w:t>
      </w:r>
    </w:p>
    <w:p w:rsidR="006B46FE" w:rsidRDefault="006B46FE" w:rsidP="00EB53A7">
      <w:pPr>
        <w:pStyle w:val="Healthheading4"/>
      </w:pPr>
      <w:r>
        <w:t>Outcome 3</w:t>
      </w:r>
    </w:p>
    <w:p w:rsidR="003449DB" w:rsidRPr="006B46FE" w:rsidRDefault="00BE2B90" w:rsidP="006B46FE">
      <w:pPr>
        <w:pStyle w:val="Healthbody"/>
      </w:pPr>
      <w:r w:rsidRPr="006B46FE">
        <w:t>All sessions offered in the hub-and-spoke model for this project were taken up</w:t>
      </w:r>
      <w:r w:rsidR="002A5BB7" w:rsidRPr="006B46FE">
        <w:t xml:space="preserve"> with very good </w:t>
      </w:r>
      <w:r w:rsidRPr="006B46FE">
        <w:t xml:space="preserve">attendance rates </w:t>
      </w:r>
      <w:r w:rsidR="009339EC" w:rsidRPr="006B46FE">
        <w:t xml:space="preserve">at </w:t>
      </w:r>
      <w:r w:rsidR="002D1C15" w:rsidRPr="006B46FE">
        <w:t>90</w:t>
      </w:r>
      <w:r w:rsidR="002407EC" w:rsidRPr="006B46FE">
        <w:t>%</w:t>
      </w:r>
      <w:r w:rsidRPr="006B46FE">
        <w:t>.</w:t>
      </w:r>
      <w:r w:rsidR="0057128F">
        <w:t xml:space="preserve"> </w:t>
      </w:r>
      <w:r w:rsidR="002A5BB7" w:rsidRPr="006B46FE">
        <w:t>S</w:t>
      </w:r>
      <w:r w:rsidRPr="006B46FE">
        <w:t xml:space="preserve">atisfaction levels </w:t>
      </w:r>
      <w:r w:rsidR="002A5BB7" w:rsidRPr="006B46FE">
        <w:t xml:space="preserve">were </w:t>
      </w:r>
      <w:r w:rsidRPr="006B46FE">
        <w:t xml:space="preserve">reported at </w:t>
      </w:r>
      <w:r w:rsidR="002D1C15" w:rsidRPr="006B46FE">
        <w:t>8</w:t>
      </w:r>
      <w:r w:rsidR="002A5BB7" w:rsidRPr="006B46FE">
        <w:t>9.5</w:t>
      </w:r>
      <w:r w:rsidRPr="006B46FE">
        <w:t>%</w:t>
      </w:r>
      <w:r w:rsidR="00364ABC">
        <w:t>.</w:t>
      </w:r>
    </w:p>
    <w:p w:rsidR="00394AD6" w:rsidRPr="006B46FE" w:rsidRDefault="00000094" w:rsidP="006B46FE">
      <w:pPr>
        <w:pStyle w:val="Healthbody"/>
      </w:pPr>
      <w:r w:rsidRPr="006B46FE">
        <w:t>Our region experienced a</w:t>
      </w:r>
      <w:r w:rsidR="009339EC" w:rsidRPr="006B46FE">
        <w:t>n overall total increase of 52.5</w:t>
      </w:r>
      <w:r w:rsidRPr="006B46FE">
        <w:t>% in clinical simulation hours throughout th</w:t>
      </w:r>
      <w:r w:rsidR="00364ABC">
        <w:t>e eighteen-</w:t>
      </w:r>
      <w:r w:rsidR="009339EC" w:rsidRPr="006B46FE">
        <w:t>month timeline of th</w:t>
      </w:r>
      <w:r w:rsidR="00364ABC">
        <w:t>is project.</w:t>
      </w:r>
    </w:p>
    <w:p w:rsidR="006B46FE" w:rsidRDefault="004E250D" w:rsidP="00EB53A7">
      <w:pPr>
        <w:pStyle w:val="Healthheading3"/>
      </w:pPr>
      <w:r w:rsidRPr="006B46FE">
        <w:t xml:space="preserve">Objective </w:t>
      </w:r>
      <w:r w:rsidR="003449DB" w:rsidRPr="006B46FE">
        <w:t>4</w:t>
      </w:r>
    </w:p>
    <w:p w:rsidR="00B05011" w:rsidRPr="006B46FE" w:rsidRDefault="003449DB" w:rsidP="006B46FE">
      <w:pPr>
        <w:pStyle w:val="Healthbody"/>
      </w:pPr>
      <w:r w:rsidRPr="006B46FE">
        <w:t xml:space="preserve">The establishment of a multi-institutional governance structure that will </w:t>
      </w:r>
      <w:r w:rsidR="004A4357" w:rsidRPr="006B46FE">
        <w:t>maximi</w:t>
      </w:r>
      <w:r w:rsidR="002A5BB7" w:rsidRPr="006B46FE">
        <w:t>s</w:t>
      </w:r>
      <w:r w:rsidR="004A4357" w:rsidRPr="006B46FE">
        <w:t>e</w:t>
      </w:r>
      <w:r w:rsidR="00364ABC">
        <w:t xml:space="preserve"> usage of,</w:t>
      </w:r>
      <w:r w:rsidRPr="006B46FE">
        <w:t xml:space="preserve"> and provide equitable access to, simulated learning opportunities for health professional students placed in the L</w:t>
      </w:r>
      <w:r w:rsidR="002A5BB7" w:rsidRPr="006B46FE">
        <w:t>M r</w:t>
      </w:r>
      <w:r w:rsidR="006B46FE" w:rsidRPr="006B46FE">
        <w:t>egion.</w:t>
      </w:r>
    </w:p>
    <w:p w:rsidR="00EB53A7" w:rsidRDefault="00EB53A7" w:rsidP="00EB53A7">
      <w:pPr>
        <w:pStyle w:val="Healthheading4"/>
      </w:pPr>
      <w:r>
        <w:t>Outcome 4</w:t>
      </w:r>
    </w:p>
    <w:p w:rsidR="002A5BB7" w:rsidRPr="006B46FE" w:rsidRDefault="004E250D" w:rsidP="006B46FE">
      <w:pPr>
        <w:pStyle w:val="Healthbody"/>
      </w:pPr>
      <w:r w:rsidRPr="006B46FE">
        <w:t xml:space="preserve">The </w:t>
      </w:r>
      <w:r w:rsidR="00B05011" w:rsidRPr="006B46FE">
        <w:t xml:space="preserve">multi-institutional </w:t>
      </w:r>
      <w:r w:rsidRPr="006B46FE">
        <w:t xml:space="preserve">governance structure </w:t>
      </w:r>
      <w:r w:rsidR="00B05011" w:rsidRPr="006B46FE">
        <w:t xml:space="preserve">implemented </w:t>
      </w:r>
      <w:r w:rsidR="00364ABC">
        <w:t xml:space="preserve">has </w:t>
      </w:r>
      <w:r w:rsidRPr="006B46FE">
        <w:t>contributed to a significant increase in the number of SLE hours being delivered to professional</w:t>
      </w:r>
      <w:r w:rsidR="00364ABC">
        <w:t>-</w:t>
      </w:r>
      <w:r w:rsidRPr="006B46FE">
        <w:t>entry students and clinicians throughout the L</w:t>
      </w:r>
      <w:r w:rsidR="002A5BB7" w:rsidRPr="006B46FE">
        <w:t>M</w:t>
      </w:r>
      <w:r w:rsidRPr="006B46FE">
        <w:t xml:space="preserve"> region. </w:t>
      </w:r>
      <w:r w:rsidR="00033880" w:rsidRPr="006B46FE">
        <w:t xml:space="preserve">During </w:t>
      </w:r>
      <w:r w:rsidRPr="006B46FE">
        <w:t>the project period</w:t>
      </w:r>
      <w:r w:rsidR="002A5BB7" w:rsidRPr="006B46FE">
        <w:t>,</w:t>
      </w:r>
      <w:r w:rsidRPr="006B46FE">
        <w:t xml:space="preserve"> </w:t>
      </w:r>
      <w:r w:rsidR="00E16354" w:rsidRPr="006B46FE">
        <w:t xml:space="preserve">the </w:t>
      </w:r>
      <w:r w:rsidRPr="006B46FE">
        <w:t>SLE sessions were delivered</w:t>
      </w:r>
      <w:r w:rsidR="00B05011" w:rsidRPr="006B46FE">
        <w:t xml:space="preserve"> across </w:t>
      </w:r>
      <w:r w:rsidR="009339EC" w:rsidRPr="006B46FE">
        <w:t xml:space="preserve">a total of </w:t>
      </w:r>
      <w:r w:rsidR="00364ABC">
        <w:t>twenty-six</w:t>
      </w:r>
      <w:r w:rsidR="00B05011" w:rsidRPr="006B46FE">
        <w:t xml:space="preserve"> </w:t>
      </w:r>
      <w:r w:rsidR="009339EC" w:rsidRPr="006B46FE">
        <w:t>organi</w:t>
      </w:r>
      <w:r w:rsidR="002A5BB7" w:rsidRPr="006B46FE">
        <w:t>s</w:t>
      </w:r>
      <w:r w:rsidR="009339EC" w:rsidRPr="006B46FE">
        <w:t>ations</w:t>
      </w:r>
      <w:r w:rsidR="00033880" w:rsidRPr="006B46FE">
        <w:t xml:space="preserve"> </w:t>
      </w:r>
      <w:r w:rsidRPr="006B46FE">
        <w:t xml:space="preserve">to </w:t>
      </w:r>
      <w:r w:rsidR="00033880" w:rsidRPr="006B46FE">
        <w:t>8413 participants and for a total 6</w:t>
      </w:r>
      <w:r w:rsidR="00364ABC">
        <w:t xml:space="preserve">4 </w:t>
      </w:r>
      <w:r w:rsidR="00033880" w:rsidRPr="006B46FE">
        <w:t>906</w:t>
      </w:r>
      <w:r w:rsidR="00E16354" w:rsidRPr="006B46FE">
        <w:t xml:space="preserve"> </w:t>
      </w:r>
      <w:r w:rsidR="00B05011" w:rsidRPr="006B46FE">
        <w:t>hours</w:t>
      </w:r>
      <w:r w:rsidR="002A5BB7" w:rsidRPr="006B46FE">
        <w:t>.</w:t>
      </w:r>
      <w:r w:rsidR="00972E91" w:rsidRPr="006B46FE">
        <w:t xml:space="preserve"> This</w:t>
      </w:r>
      <w:r w:rsidR="00B05011" w:rsidRPr="006B46FE">
        <w:t xml:space="preserve"> represents an increase of</w:t>
      </w:r>
      <w:r w:rsidR="009339EC" w:rsidRPr="006B46FE">
        <w:t xml:space="preserve"> </w:t>
      </w:r>
      <w:r w:rsidR="009A276A" w:rsidRPr="006B46FE">
        <w:t>52.5%</w:t>
      </w:r>
      <w:r w:rsidR="009339EC" w:rsidRPr="006B46FE">
        <w:t xml:space="preserve"> </w:t>
      </w:r>
      <w:r w:rsidR="00033880" w:rsidRPr="006B46FE">
        <w:t xml:space="preserve">in simulation education hours delivered and an increase </w:t>
      </w:r>
      <w:r w:rsidR="00364ABC">
        <w:t>six</w:t>
      </w:r>
      <w:r w:rsidR="002C0534" w:rsidRPr="006B46FE">
        <w:t>-</w:t>
      </w:r>
      <w:r w:rsidR="00B076DB" w:rsidRPr="006B46FE">
        <w:t>fold in</w:t>
      </w:r>
      <w:r w:rsidR="00033880" w:rsidRPr="006B46FE">
        <w:t xml:space="preserve"> total participant numbers (combined entry</w:t>
      </w:r>
      <w:r w:rsidR="00364ABC">
        <w:t>-</w:t>
      </w:r>
      <w:r w:rsidR="00033880" w:rsidRPr="006B46FE">
        <w:t>to</w:t>
      </w:r>
      <w:r w:rsidR="00364ABC">
        <w:t>-</w:t>
      </w:r>
      <w:r w:rsidR="00033880" w:rsidRPr="006B46FE">
        <w:t xml:space="preserve">practice students and other learners) </w:t>
      </w:r>
      <w:r w:rsidR="00B05011" w:rsidRPr="006B46FE">
        <w:t>compared to the 2011</w:t>
      </w:r>
      <w:r w:rsidRPr="006B46FE">
        <w:t xml:space="preserve"> </w:t>
      </w:r>
      <w:r w:rsidR="00364ABC">
        <w:t>LM SLE</w:t>
      </w:r>
      <w:r w:rsidR="00700E06" w:rsidRPr="006B46FE">
        <w:t xml:space="preserve"> </w:t>
      </w:r>
      <w:r w:rsidR="00B05011" w:rsidRPr="006B46FE">
        <w:t>baseline</w:t>
      </w:r>
      <w:r w:rsidR="00033880" w:rsidRPr="006B46FE">
        <w:t xml:space="preserve"> figures</w:t>
      </w:r>
      <w:r w:rsidR="00B05011" w:rsidRPr="006B46FE">
        <w:t xml:space="preserve"> for the region.</w:t>
      </w:r>
    </w:p>
    <w:p w:rsidR="00EB53A7" w:rsidRDefault="003449DB" w:rsidP="00EB53A7">
      <w:pPr>
        <w:pStyle w:val="Healthheading3"/>
      </w:pPr>
      <w:r w:rsidRPr="006B46FE">
        <w:t>Objective 5</w:t>
      </w:r>
    </w:p>
    <w:p w:rsidR="003449DB" w:rsidRPr="006B46FE" w:rsidRDefault="003449DB" w:rsidP="006B46FE">
      <w:pPr>
        <w:pStyle w:val="Healthbody"/>
      </w:pPr>
      <w:r w:rsidRPr="006B46FE">
        <w:t xml:space="preserve">To monitor data relating to equipment usage, education and people management to track </w:t>
      </w:r>
      <w:r w:rsidR="002A5BB7" w:rsidRPr="006B46FE">
        <w:t>progress</w:t>
      </w:r>
      <w:r w:rsidRPr="006B46FE">
        <w:t xml:space="preserve"> evaluate per</w:t>
      </w:r>
      <w:r w:rsidR="006B46FE" w:rsidRPr="006B46FE">
        <w:t>formance and make improvements.</w:t>
      </w:r>
    </w:p>
    <w:p w:rsidR="00EB53A7" w:rsidRDefault="00EB53A7" w:rsidP="00EB53A7">
      <w:pPr>
        <w:pStyle w:val="Healthheading4"/>
      </w:pPr>
      <w:r>
        <w:t>Outcome 5</w:t>
      </w:r>
    </w:p>
    <w:p w:rsidR="002C0534" w:rsidRPr="006B46FE" w:rsidRDefault="003449DB" w:rsidP="006B46FE">
      <w:pPr>
        <w:pStyle w:val="Healthbody"/>
      </w:pPr>
      <w:r w:rsidRPr="006B46FE">
        <w:t>Throughout the term of the project</w:t>
      </w:r>
      <w:r w:rsidR="002A5BB7" w:rsidRPr="006B46FE">
        <w:t>,</w:t>
      </w:r>
      <w:r w:rsidRPr="006B46FE">
        <w:t xml:space="preserve"> all SLE education </w:t>
      </w:r>
      <w:r w:rsidR="004E250D" w:rsidRPr="006B46FE">
        <w:t>delivered was recorded, evaluated and equipment tracked</w:t>
      </w:r>
      <w:r w:rsidR="00B05011" w:rsidRPr="006B46FE">
        <w:t xml:space="preserve">. The </w:t>
      </w:r>
      <w:r w:rsidR="00BE2B90" w:rsidRPr="006B46FE">
        <w:t>S</w:t>
      </w:r>
      <w:r w:rsidR="00B05011" w:rsidRPr="006B46FE">
        <w:t xml:space="preserve">enior Management Group and the SLE Educators reviewed SLE training evaluation on a quarterly basis to ensure training remained relevant and any training deficits identified were addressed in a timely manner. This approach saw the project receive an average overall satisfaction rating of </w:t>
      </w:r>
      <w:r w:rsidR="004A4357" w:rsidRPr="006B46FE">
        <w:t xml:space="preserve">89.5% </w:t>
      </w:r>
      <w:r w:rsidR="00B05011" w:rsidRPr="006B46FE">
        <w:t>throughout the project period. This level of satisfaction has le</w:t>
      </w:r>
      <w:r w:rsidR="00BE2B90" w:rsidRPr="006B46FE">
        <w:t>a</w:t>
      </w:r>
      <w:r w:rsidR="00B05011" w:rsidRPr="006B46FE">
        <w:t>d regional health services to see the benefits of simulation and it is anticipated that this will result in a greater willingness to pay a service fee fo</w:t>
      </w:r>
      <w:r w:rsidR="006B46FE" w:rsidRPr="006B46FE">
        <w:t>r SLE training in 2013.</w:t>
      </w:r>
    </w:p>
    <w:p w:rsidR="00EB53A7" w:rsidRDefault="00EB53A7" w:rsidP="00EB53A7">
      <w:pPr>
        <w:pStyle w:val="Healthheading3"/>
      </w:pPr>
      <w:r>
        <w:t>Objective 6</w:t>
      </w:r>
    </w:p>
    <w:p w:rsidR="003449DB" w:rsidRPr="006B46FE" w:rsidRDefault="003449DB" w:rsidP="006B46FE">
      <w:pPr>
        <w:pStyle w:val="Healthbody"/>
      </w:pPr>
      <w:r w:rsidRPr="006B46FE">
        <w:t>To co-fund the strategy with sustainable ongoing funding commitments from the participating universities at a level at least equivalent to existing simulation costs in this region wi</w:t>
      </w:r>
      <w:r w:rsidR="002D0BB0">
        <w:t>th a ‘</w:t>
      </w:r>
      <w:r w:rsidRPr="006B46FE">
        <w:t>user-pays</w:t>
      </w:r>
      <w:r w:rsidR="002D0BB0">
        <w:t>’</w:t>
      </w:r>
      <w:r w:rsidRPr="006B46FE">
        <w:t xml:space="preserve"> contr</w:t>
      </w:r>
      <w:r w:rsidR="00F25E8F" w:rsidRPr="006B46FE">
        <w:t>ibution from participants and/</w:t>
      </w:r>
      <w:r w:rsidRPr="006B46FE">
        <w:t>or</w:t>
      </w:r>
      <w:r w:rsidR="00F25E8F" w:rsidRPr="006B46FE">
        <w:t xml:space="preserve"> their health service employers/</w:t>
      </w:r>
      <w:r w:rsidRPr="006B46FE">
        <w:t xml:space="preserve">VET sector education providers on a needs basis. </w:t>
      </w:r>
    </w:p>
    <w:p w:rsidR="00EB53A7" w:rsidRDefault="00EB53A7" w:rsidP="00EB53A7">
      <w:pPr>
        <w:pStyle w:val="Healthheading4"/>
      </w:pPr>
      <w:r>
        <w:t>Outcome 6</w:t>
      </w:r>
    </w:p>
    <w:p w:rsidR="0086263E" w:rsidRPr="006B46FE" w:rsidRDefault="003449DB" w:rsidP="006B46FE">
      <w:pPr>
        <w:pStyle w:val="Healthbody"/>
      </w:pPr>
      <w:r w:rsidRPr="006B46FE">
        <w:t xml:space="preserve">Monash </w:t>
      </w:r>
      <w:r w:rsidR="00347F7F" w:rsidRPr="006B46FE">
        <w:t>School of Rural Health</w:t>
      </w:r>
      <w:r w:rsidR="002D0BB0">
        <w:t xml:space="preserve"> </w:t>
      </w:r>
      <w:r w:rsidR="00347F7F" w:rsidRPr="006B46FE">
        <w:t>Mildura</w:t>
      </w:r>
      <w:r w:rsidR="002C0534" w:rsidRPr="006B46FE">
        <w:t xml:space="preserve"> </w:t>
      </w:r>
      <w:r w:rsidRPr="006B46FE">
        <w:t>and La Trobe Universit</w:t>
      </w:r>
      <w:r w:rsidR="002C0534" w:rsidRPr="006B46FE">
        <w:t>y’s</w:t>
      </w:r>
      <w:r w:rsidRPr="006B46FE">
        <w:t xml:space="preserve"> School </w:t>
      </w:r>
      <w:r w:rsidR="00BE2B90" w:rsidRPr="006B46FE">
        <w:t xml:space="preserve">of </w:t>
      </w:r>
      <w:r w:rsidRPr="006B46FE">
        <w:t xml:space="preserve">Rural Health continued </w:t>
      </w:r>
      <w:r w:rsidR="004E250D" w:rsidRPr="006B46FE">
        <w:t xml:space="preserve">to contribute university funds at 2011 levels </w:t>
      </w:r>
      <w:r w:rsidRPr="006B46FE">
        <w:t xml:space="preserve">throughout the project term for simulation related activity while Monash </w:t>
      </w:r>
      <w:r w:rsidR="00347F7F" w:rsidRPr="006B46FE">
        <w:t>School of Rural health</w:t>
      </w:r>
      <w:r w:rsidR="002D0BB0">
        <w:t xml:space="preserve"> </w:t>
      </w:r>
      <w:r w:rsidR="00347F7F" w:rsidRPr="006B46FE">
        <w:t>Bendigo</w:t>
      </w:r>
      <w:r w:rsidR="002D0BB0">
        <w:t xml:space="preserve"> </w:t>
      </w:r>
      <w:r w:rsidRPr="006B46FE">
        <w:t>actually increased its ongoing contribution to SLE costs in 2013. A fee</w:t>
      </w:r>
      <w:r w:rsidR="002D0BB0">
        <w:t>-</w:t>
      </w:r>
      <w:r w:rsidRPr="006B46FE">
        <w:t>for</w:t>
      </w:r>
      <w:r w:rsidR="002D0BB0">
        <w:t>-</w:t>
      </w:r>
      <w:r w:rsidRPr="006B46FE">
        <w:t xml:space="preserve">service model has been established in 2013 </w:t>
      </w:r>
      <w:r w:rsidR="004E250D" w:rsidRPr="006B46FE">
        <w:t xml:space="preserve">and is being delivered on a demand led basis which is currently sustainable </w:t>
      </w:r>
      <w:r w:rsidR="00347F7F" w:rsidRPr="006B46FE">
        <w:t xml:space="preserve">through lean business practices by </w:t>
      </w:r>
      <w:r w:rsidR="004E250D" w:rsidRPr="006B46FE">
        <w:t>the project partners.</w:t>
      </w:r>
    </w:p>
    <w:p w:rsidR="00DA2E2B" w:rsidRPr="00EB53A7" w:rsidRDefault="00DA2E2B" w:rsidP="00EB53A7">
      <w:pPr>
        <w:pStyle w:val="Healthheading2"/>
      </w:pPr>
      <w:r w:rsidRPr="00EB53A7">
        <w:t>Sustainability</w:t>
      </w:r>
    </w:p>
    <w:p w:rsidR="0043084E" w:rsidRPr="00EB53A7" w:rsidRDefault="00347F7F" w:rsidP="00EB53A7">
      <w:pPr>
        <w:pStyle w:val="Healthbody"/>
      </w:pPr>
      <w:r w:rsidRPr="00EB53A7">
        <w:t xml:space="preserve">The </w:t>
      </w:r>
      <w:r w:rsidR="002D0BB0">
        <w:t>p</w:t>
      </w:r>
      <w:r w:rsidRPr="00EB53A7">
        <w:t xml:space="preserve">roject sustainability plan involved a pricing model for a </w:t>
      </w:r>
      <w:r w:rsidR="002C0534" w:rsidRPr="00EB53A7">
        <w:t>‘</w:t>
      </w:r>
      <w:r w:rsidRPr="00EB53A7">
        <w:t>user pays</w:t>
      </w:r>
      <w:r w:rsidR="002C0534" w:rsidRPr="00EB53A7">
        <w:t>’</w:t>
      </w:r>
      <w:r w:rsidRPr="00EB53A7">
        <w:t xml:space="preserve"> system for activity beyond the scope of the funding, a </w:t>
      </w:r>
      <w:r w:rsidR="002D0BB0">
        <w:t>booking system across locations</w:t>
      </w:r>
      <w:r w:rsidRPr="00EB53A7">
        <w:t xml:space="preserve"> </w:t>
      </w:r>
      <w:r w:rsidR="00B076DB" w:rsidRPr="00EB53A7">
        <w:t>and a</w:t>
      </w:r>
      <w:r w:rsidRPr="00EB53A7">
        <w:t xml:space="preserve"> model to address transport costs for outreach, staff training and staffing.</w:t>
      </w:r>
      <w:r w:rsidR="0043084E" w:rsidRPr="00EB53A7">
        <w:t xml:space="preserve"> </w:t>
      </w:r>
      <w:r w:rsidRPr="00EB53A7">
        <w:t>In addition</w:t>
      </w:r>
      <w:r w:rsidR="002C0534" w:rsidRPr="00EB53A7">
        <w:t>,</w:t>
      </w:r>
      <w:r w:rsidRPr="00EB53A7">
        <w:t xml:space="preserve"> the project has sought ways to increase efficiency.</w:t>
      </w:r>
    </w:p>
    <w:p w:rsidR="00347F7F" w:rsidRPr="00EB53A7" w:rsidRDefault="00EB53A7" w:rsidP="00EB53A7">
      <w:pPr>
        <w:pStyle w:val="Healthheading3"/>
      </w:pPr>
      <w:r w:rsidRPr="00EB53A7">
        <w:t>Efficiency gains</w:t>
      </w:r>
    </w:p>
    <w:p w:rsidR="00C6193F" w:rsidRPr="00EB53A7" w:rsidRDefault="00C6193F" w:rsidP="00EB53A7">
      <w:pPr>
        <w:pStyle w:val="Healthbullet1"/>
      </w:pPr>
      <w:r w:rsidRPr="00EB53A7">
        <w:t xml:space="preserve">Simulation activities </w:t>
      </w:r>
      <w:r w:rsidR="00A64210" w:rsidRPr="00EB53A7">
        <w:t xml:space="preserve">relating to professional entry clinical students </w:t>
      </w:r>
      <w:r w:rsidRPr="00EB53A7">
        <w:t xml:space="preserve">will </w:t>
      </w:r>
      <w:r w:rsidR="00B11B4A" w:rsidRPr="00EB53A7">
        <w:t xml:space="preserve">be </w:t>
      </w:r>
      <w:r w:rsidR="00415401" w:rsidRPr="00EB53A7">
        <w:t xml:space="preserve">increased to 80% </w:t>
      </w:r>
      <w:r w:rsidR="00A64210" w:rsidRPr="00EB53A7">
        <w:t xml:space="preserve">while </w:t>
      </w:r>
      <w:r w:rsidR="00BA36EB" w:rsidRPr="00EB53A7">
        <w:t>other learner</w:t>
      </w:r>
      <w:r w:rsidR="00A64210" w:rsidRPr="00EB53A7">
        <w:t xml:space="preserve"> simulation </w:t>
      </w:r>
      <w:r w:rsidR="00BA36EB" w:rsidRPr="00EB53A7">
        <w:t xml:space="preserve">sessions </w:t>
      </w:r>
      <w:r w:rsidR="00A64210" w:rsidRPr="00EB53A7">
        <w:t xml:space="preserve">will be </w:t>
      </w:r>
      <w:r w:rsidR="00BA36EB" w:rsidRPr="00EB53A7">
        <w:t>reduced to</w:t>
      </w:r>
      <w:r w:rsidR="00B11B4A" w:rsidRPr="00EB53A7">
        <w:t xml:space="preserve"> </w:t>
      </w:r>
      <w:r w:rsidR="00415401" w:rsidRPr="00EB53A7">
        <w:t xml:space="preserve">20% </w:t>
      </w:r>
      <w:r w:rsidR="00F93C34" w:rsidRPr="00EB53A7">
        <w:t>of the</w:t>
      </w:r>
      <w:r w:rsidR="00415401" w:rsidRPr="00EB53A7">
        <w:t xml:space="preserve"> total </w:t>
      </w:r>
      <w:r w:rsidR="00347F7F" w:rsidRPr="00EB53A7">
        <w:t xml:space="preserve">funded </w:t>
      </w:r>
      <w:r w:rsidR="00A64210" w:rsidRPr="00EB53A7">
        <w:t>SLE activity conducted by the SLE education team throughout the region in 2013. This will reduce the unproductive cos</w:t>
      </w:r>
      <w:r w:rsidR="002C0534" w:rsidRPr="00EB53A7">
        <w:t>ts associated with travel intra-</w:t>
      </w:r>
      <w:r w:rsidR="00A64210" w:rsidRPr="00EB53A7">
        <w:t>regionally, while still growing the amount of SLE education and training delivered to the region</w:t>
      </w:r>
      <w:r w:rsidR="00347F7F" w:rsidRPr="00EB53A7">
        <w:t xml:space="preserve"> overall</w:t>
      </w:r>
      <w:r w:rsidR="00A64210" w:rsidRPr="00EB53A7">
        <w:t>.</w:t>
      </w:r>
    </w:p>
    <w:p w:rsidR="00347F7F" w:rsidRPr="00EB53A7" w:rsidRDefault="00347F7F" w:rsidP="00EB53A7">
      <w:pPr>
        <w:pStyle w:val="Healthbullet1"/>
      </w:pPr>
      <w:r w:rsidRPr="00EB53A7">
        <w:t>Sharing education resources across hubs and partners has merit in that it will continue to increase productivity of the valuable educator team.</w:t>
      </w:r>
    </w:p>
    <w:p w:rsidR="00AE3BDA" w:rsidRPr="00EB53A7" w:rsidRDefault="00347F7F" w:rsidP="00EB53A7">
      <w:pPr>
        <w:pStyle w:val="Healthbullet1"/>
      </w:pPr>
      <w:r w:rsidRPr="00EB53A7">
        <w:t xml:space="preserve">Sharing </w:t>
      </w:r>
      <w:r w:rsidR="002D0BB0">
        <w:t>p</w:t>
      </w:r>
      <w:r w:rsidRPr="00EB53A7">
        <w:t xml:space="preserve">olicy </w:t>
      </w:r>
      <w:r w:rsidR="002D0BB0">
        <w:t>and</w:t>
      </w:r>
      <w:r w:rsidRPr="00EB53A7">
        <w:t xml:space="preserve"> </w:t>
      </w:r>
      <w:r w:rsidR="002D0BB0">
        <w:t>p</w:t>
      </w:r>
      <w:r w:rsidRPr="00EB53A7">
        <w:t>rocedures and other administration documents will continue to mean the stretched professional administration teams across sites save time and experience increased productivity</w:t>
      </w:r>
      <w:r w:rsidR="002D0BB0">
        <w:t>.</w:t>
      </w:r>
    </w:p>
    <w:p w:rsidR="007810D7" w:rsidRPr="00EB53A7" w:rsidRDefault="00AE3BDA" w:rsidP="00EB53A7">
      <w:pPr>
        <w:pStyle w:val="Healthbullet1lastline"/>
      </w:pPr>
      <w:r w:rsidRPr="00EB53A7">
        <w:t xml:space="preserve">Partners have agreed to coordinate their simulation session bookings </w:t>
      </w:r>
      <w:r w:rsidR="002E42E9" w:rsidRPr="00EB53A7">
        <w:t>‘in-</w:t>
      </w:r>
      <w:r w:rsidR="00463B17" w:rsidRPr="00EB53A7">
        <w:t>house</w:t>
      </w:r>
      <w:r w:rsidR="002E42E9" w:rsidRPr="00EB53A7">
        <w:t>’</w:t>
      </w:r>
      <w:r w:rsidR="00463B17" w:rsidRPr="00EB53A7">
        <w:t xml:space="preserve"> </w:t>
      </w:r>
      <w:r w:rsidRPr="00EB53A7">
        <w:t xml:space="preserve">into the future and utilise the </w:t>
      </w:r>
      <w:proofErr w:type="spellStart"/>
      <w:r w:rsidR="0057128F">
        <w:t>SimBook</w:t>
      </w:r>
      <w:proofErr w:type="spellEnd"/>
      <w:r w:rsidRPr="00EB53A7">
        <w:t xml:space="preserve"> website developed for the LM region to manage simulation education sessions, spaces and bookings. This allows for a 1</w:t>
      </w:r>
      <w:r w:rsidR="002D0BB0">
        <w:t xml:space="preserve">.0 </w:t>
      </w:r>
      <w:r w:rsidRPr="00EB53A7">
        <w:t>FTE project coordinator position to reduce to 0.5</w:t>
      </w:r>
      <w:r w:rsidR="002D0BB0">
        <w:t xml:space="preserve"> </w:t>
      </w:r>
      <w:r w:rsidRPr="00EB53A7">
        <w:t>FTE.</w:t>
      </w:r>
    </w:p>
    <w:p w:rsidR="00AE3BDA" w:rsidRPr="00EB53A7" w:rsidRDefault="00EB53A7" w:rsidP="00EB53A7">
      <w:pPr>
        <w:pStyle w:val="Healthheading3"/>
      </w:pPr>
      <w:r w:rsidRPr="00EB53A7">
        <w:t>User</w:t>
      </w:r>
      <w:r w:rsidR="002D0BB0">
        <w:t>-</w:t>
      </w:r>
      <w:r w:rsidRPr="00EB53A7">
        <w:t>pays system</w:t>
      </w:r>
    </w:p>
    <w:p w:rsidR="00AE3BDA" w:rsidRPr="00EB53A7" w:rsidRDefault="007810D7" w:rsidP="00EB53A7">
      <w:pPr>
        <w:pStyle w:val="Healthbody"/>
      </w:pPr>
      <w:r w:rsidRPr="00EB53A7">
        <w:t xml:space="preserve">While a fee-for-service </w:t>
      </w:r>
      <w:r w:rsidR="00EF0D63" w:rsidRPr="00EB53A7">
        <w:t>(user</w:t>
      </w:r>
      <w:r w:rsidR="002D0BB0">
        <w:t>-</w:t>
      </w:r>
      <w:r w:rsidR="00EF0D63" w:rsidRPr="00EB53A7">
        <w:t xml:space="preserve">pays) </w:t>
      </w:r>
      <w:r w:rsidRPr="00EB53A7">
        <w:t xml:space="preserve">model may dissuade some potential users, </w:t>
      </w:r>
      <w:r w:rsidR="00553431" w:rsidRPr="00EB53A7">
        <w:t>the project partners</w:t>
      </w:r>
      <w:r w:rsidR="00D6081E" w:rsidRPr="00EB53A7">
        <w:t xml:space="preserve"> </w:t>
      </w:r>
      <w:r w:rsidRPr="00EB53A7">
        <w:t>ha</w:t>
      </w:r>
      <w:r w:rsidR="00D6081E" w:rsidRPr="00EB53A7">
        <w:t>ve</w:t>
      </w:r>
      <w:r w:rsidRPr="00EB53A7">
        <w:t xml:space="preserve"> </w:t>
      </w:r>
      <w:r w:rsidR="00AE3BDA" w:rsidRPr="00EB53A7">
        <w:t>developed a</w:t>
      </w:r>
      <w:r w:rsidRPr="00EB53A7">
        <w:t xml:space="preserve"> mode</w:t>
      </w:r>
      <w:r w:rsidR="00EF0D63" w:rsidRPr="00EB53A7">
        <w:t>l based solely on cost recovery</w:t>
      </w:r>
      <w:r w:rsidR="00AE3BDA" w:rsidRPr="00EB53A7">
        <w:t xml:space="preserve"> pricing</w:t>
      </w:r>
      <w:r w:rsidR="00EF0D63" w:rsidRPr="00EB53A7">
        <w:t>. This fee-for-service model has been introduced</w:t>
      </w:r>
      <w:r w:rsidR="00AE3BDA" w:rsidRPr="00EB53A7">
        <w:t xml:space="preserve"> in 2013</w:t>
      </w:r>
      <w:r w:rsidR="00EF0D63" w:rsidRPr="00EB53A7">
        <w:t xml:space="preserve"> and</w:t>
      </w:r>
      <w:r w:rsidRPr="00EB53A7">
        <w:t xml:space="preserve"> is </w:t>
      </w:r>
      <w:r w:rsidR="00EF0D63" w:rsidRPr="00EB53A7">
        <w:t>in place</w:t>
      </w:r>
      <w:r w:rsidRPr="00EB53A7">
        <w:t xml:space="preserve"> for all activities that are not funded by other </w:t>
      </w:r>
      <w:r w:rsidR="00415401" w:rsidRPr="00EB53A7">
        <w:t>sources</w:t>
      </w:r>
      <w:r w:rsidRPr="00EB53A7">
        <w:t xml:space="preserve"> </w:t>
      </w:r>
      <w:r w:rsidR="00084803" w:rsidRPr="00EB53A7">
        <w:t>and</w:t>
      </w:r>
      <w:r w:rsidRPr="00EB53A7">
        <w:t xml:space="preserve"> </w:t>
      </w:r>
      <w:r w:rsidR="00EF0D63" w:rsidRPr="00EB53A7">
        <w:t xml:space="preserve">for </w:t>
      </w:r>
      <w:r w:rsidRPr="00EB53A7">
        <w:t xml:space="preserve">those </w:t>
      </w:r>
      <w:r w:rsidR="00EF0D63" w:rsidRPr="00EB53A7">
        <w:t xml:space="preserve">activities </w:t>
      </w:r>
      <w:r w:rsidRPr="00EB53A7">
        <w:t>that do not fall within the scope of funded projects. The main elements of the user-pay</w:t>
      </w:r>
      <w:r w:rsidR="00EF0D63" w:rsidRPr="00EB53A7">
        <w:t>s</w:t>
      </w:r>
      <w:r w:rsidRPr="00EB53A7">
        <w:t xml:space="preserve"> model are staffing (hourly rates), equipment maintenance, transportation (outreach onl</w:t>
      </w:r>
      <w:r w:rsidR="002E42E9" w:rsidRPr="00EB53A7">
        <w:t>y) and infrastructure costs (</w:t>
      </w:r>
      <w:r w:rsidR="0057128F">
        <w:t>in-reach</w:t>
      </w:r>
      <w:r w:rsidRPr="00EB53A7">
        <w:t xml:space="preserve"> only). </w:t>
      </w:r>
      <w:r w:rsidR="00EA1365" w:rsidRPr="00EB53A7">
        <w:t>Bookings</w:t>
      </w:r>
      <w:r w:rsidRPr="00EB53A7">
        <w:t xml:space="preserve"> </w:t>
      </w:r>
      <w:r w:rsidR="00EA1365" w:rsidRPr="00EB53A7">
        <w:t>for the user</w:t>
      </w:r>
      <w:r w:rsidR="002D0BB0">
        <w:t>-</w:t>
      </w:r>
      <w:r w:rsidR="00EA1365" w:rsidRPr="00EB53A7">
        <w:t xml:space="preserve">pays model are </w:t>
      </w:r>
      <w:r w:rsidR="00553431" w:rsidRPr="00EB53A7">
        <w:t xml:space="preserve">pre-determined </w:t>
      </w:r>
      <w:r w:rsidRPr="00EB53A7">
        <w:t>on the availability of staff (</w:t>
      </w:r>
      <w:r w:rsidR="00AE3BDA" w:rsidRPr="00EB53A7">
        <w:t>i</w:t>
      </w:r>
      <w:r w:rsidR="00553431" w:rsidRPr="00EB53A7">
        <w:t xml:space="preserve">.e. </w:t>
      </w:r>
      <w:r w:rsidRPr="00EB53A7">
        <w:t>educators, technicians and administrative staff) for in-house or outreach SLE activities</w:t>
      </w:r>
      <w:r w:rsidR="002E42E9" w:rsidRPr="00EB53A7">
        <w:t>.</w:t>
      </w:r>
      <w:r w:rsidR="0057128F">
        <w:t xml:space="preserve"> </w:t>
      </w:r>
      <w:r w:rsidR="002E42E9" w:rsidRPr="00EB53A7">
        <w:t>T</w:t>
      </w:r>
      <w:r w:rsidRPr="00EB53A7">
        <w:t>his work is built into their substantive workload</w:t>
      </w:r>
      <w:r w:rsidR="002E42E9" w:rsidRPr="00EB53A7">
        <w:t>s</w:t>
      </w:r>
      <w:r w:rsidR="00AE3BDA" w:rsidRPr="00EB53A7">
        <w:t xml:space="preserve"> or utilises the recruitment of qualified sessional educators.</w:t>
      </w:r>
    </w:p>
    <w:p w:rsidR="00016C68" w:rsidRPr="00EB53A7" w:rsidRDefault="00AE3BDA" w:rsidP="00EB53A7">
      <w:pPr>
        <w:pStyle w:val="Healthbody"/>
      </w:pPr>
      <w:r w:rsidRPr="00EB53A7">
        <w:t>Indicative fees for room hire range from $200 to $600 per half</w:t>
      </w:r>
      <w:r w:rsidR="002D0BB0">
        <w:t>-</w:t>
      </w:r>
      <w:r w:rsidRPr="00EB53A7">
        <w:t>day</w:t>
      </w:r>
      <w:r w:rsidR="00EA1365" w:rsidRPr="00EB53A7">
        <w:t xml:space="preserve"> depending on the type of simulation space and equipment per room</w:t>
      </w:r>
      <w:r w:rsidR="009A62F5" w:rsidRPr="00EB53A7">
        <w:t>. This indicative fee does not include education time or GST.</w:t>
      </w:r>
      <w:r w:rsidR="0057128F">
        <w:t xml:space="preserve"> </w:t>
      </w:r>
    </w:p>
    <w:p w:rsidR="002D0BB0" w:rsidRDefault="002D0BB0">
      <w:pPr>
        <w:rPr>
          <w:rFonts w:ascii="Arial" w:eastAsia="MS Mincho" w:hAnsi="Arial"/>
          <w:b/>
          <w:lang w:val="en-AU" w:eastAsia="zh-CN"/>
        </w:rPr>
      </w:pPr>
      <w:r>
        <w:rPr>
          <w:lang w:eastAsia="zh-CN"/>
        </w:rPr>
        <w:br w:type="page"/>
      </w:r>
    </w:p>
    <w:p w:rsidR="00236A37" w:rsidRPr="002B3649" w:rsidRDefault="00EB53A7" w:rsidP="00EB53A7">
      <w:pPr>
        <w:pStyle w:val="Healthheading3"/>
        <w:rPr>
          <w:lang w:eastAsia="zh-CN"/>
        </w:rPr>
      </w:pPr>
      <w:r>
        <w:rPr>
          <w:lang w:eastAsia="zh-CN"/>
        </w:rPr>
        <w:t>Equipment and t</w:t>
      </w:r>
      <w:r w:rsidR="00236A37" w:rsidRPr="009A62F5">
        <w:rPr>
          <w:lang w:eastAsia="zh-CN"/>
        </w:rPr>
        <w:t xml:space="preserve">echnology </w:t>
      </w:r>
      <w:r>
        <w:rPr>
          <w:lang w:eastAsia="zh-CN"/>
        </w:rPr>
        <w:t>s</w:t>
      </w:r>
      <w:r w:rsidR="00236A37" w:rsidRPr="009A62F5">
        <w:rPr>
          <w:lang w:eastAsia="zh-CN"/>
        </w:rPr>
        <w:t>ustainability</w:t>
      </w:r>
      <w:r w:rsidR="00016C68" w:rsidRPr="009A62F5">
        <w:rPr>
          <w:lang w:eastAsia="zh-CN"/>
        </w:rPr>
        <w:t xml:space="preserve"> plan</w:t>
      </w:r>
    </w:p>
    <w:p w:rsidR="00236A37" w:rsidRPr="002B3649" w:rsidRDefault="002D0BB0" w:rsidP="00EB53A7">
      <w:pPr>
        <w:pStyle w:val="Healthbullet1"/>
        <w:rPr>
          <w:lang w:eastAsia="zh-CN"/>
        </w:rPr>
      </w:pPr>
      <w:r>
        <w:rPr>
          <w:lang w:eastAsia="zh-CN"/>
        </w:rPr>
        <w:t>Sim</w:t>
      </w:r>
      <w:r w:rsidR="00236A37" w:rsidRPr="002B3649">
        <w:rPr>
          <w:lang w:eastAsia="zh-CN"/>
        </w:rPr>
        <w:t xml:space="preserve">Man </w:t>
      </w:r>
      <w:r w:rsidR="009A62F5">
        <w:rPr>
          <w:lang w:eastAsia="zh-CN"/>
        </w:rPr>
        <w:t xml:space="preserve">3G </w:t>
      </w:r>
      <w:r w:rsidR="00236A37" w:rsidRPr="002B3649">
        <w:rPr>
          <w:lang w:eastAsia="zh-CN"/>
        </w:rPr>
        <w:t>and SimMan</w:t>
      </w:r>
      <w:r w:rsidR="009A62F5">
        <w:rPr>
          <w:lang w:eastAsia="zh-CN"/>
        </w:rPr>
        <w:t xml:space="preserve"> Essentials (</w:t>
      </w:r>
      <w:r>
        <w:rPr>
          <w:lang w:eastAsia="zh-CN"/>
        </w:rPr>
        <w:t>B</w:t>
      </w:r>
      <w:r w:rsidR="009A62F5">
        <w:rPr>
          <w:lang w:eastAsia="zh-CN"/>
        </w:rPr>
        <w:t>leeding)</w:t>
      </w:r>
      <w:r w:rsidR="00236A37" w:rsidRPr="002B3649">
        <w:rPr>
          <w:lang w:eastAsia="zh-CN"/>
        </w:rPr>
        <w:t xml:space="preserve"> were high</w:t>
      </w:r>
      <w:r>
        <w:rPr>
          <w:lang w:eastAsia="zh-CN"/>
        </w:rPr>
        <w:t>-</w:t>
      </w:r>
      <w:r w:rsidR="004D7F7B">
        <w:rPr>
          <w:lang w:eastAsia="zh-CN"/>
        </w:rPr>
        <w:t>fidelity</w:t>
      </w:r>
      <w:r w:rsidR="00236A37" w:rsidRPr="002B3649">
        <w:rPr>
          <w:lang w:eastAsia="zh-CN"/>
        </w:rPr>
        <w:t xml:space="preserve"> purchases. The high usage</w:t>
      </w:r>
      <w:r w:rsidR="004D7F7B">
        <w:rPr>
          <w:lang w:eastAsia="zh-CN"/>
        </w:rPr>
        <w:t xml:space="preserve"> rate</w:t>
      </w:r>
      <w:r w:rsidR="00236A37" w:rsidRPr="002B3649">
        <w:rPr>
          <w:lang w:eastAsia="zh-CN"/>
        </w:rPr>
        <w:t xml:space="preserve"> of these mannequins will contribute to their wear and tear. An extensive maintenance program has been negotiated with Laerdal.</w:t>
      </w:r>
      <w:r w:rsidR="0057128F">
        <w:rPr>
          <w:lang w:eastAsia="zh-CN"/>
        </w:rPr>
        <w:t xml:space="preserve"> </w:t>
      </w:r>
      <w:r w:rsidR="00236A37" w:rsidRPr="002B3649">
        <w:rPr>
          <w:lang w:eastAsia="zh-CN"/>
        </w:rPr>
        <w:t xml:space="preserve">All education and technical staff have completed Laerdal training for SimMan </w:t>
      </w:r>
      <w:r w:rsidR="009A62F5">
        <w:rPr>
          <w:lang w:eastAsia="zh-CN"/>
        </w:rPr>
        <w:t xml:space="preserve">3G </w:t>
      </w:r>
      <w:r>
        <w:rPr>
          <w:lang w:eastAsia="zh-CN"/>
        </w:rPr>
        <w:t>and Sim</w:t>
      </w:r>
      <w:r w:rsidR="002E42E9">
        <w:rPr>
          <w:lang w:eastAsia="zh-CN"/>
        </w:rPr>
        <w:t>Man Essential (</w:t>
      </w:r>
      <w:r>
        <w:rPr>
          <w:lang w:eastAsia="zh-CN"/>
        </w:rPr>
        <w:t>five</w:t>
      </w:r>
      <w:r w:rsidR="002E42E9">
        <w:rPr>
          <w:lang w:eastAsia="zh-CN"/>
        </w:rPr>
        <w:t>-</w:t>
      </w:r>
      <w:r w:rsidR="00236A37" w:rsidRPr="002B3649">
        <w:rPr>
          <w:lang w:eastAsia="zh-CN"/>
        </w:rPr>
        <w:t>day sessions) to ensure quality care of these high</w:t>
      </w:r>
      <w:r>
        <w:rPr>
          <w:lang w:eastAsia="zh-CN"/>
        </w:rPr>
        <w:t>-</w:t>
      </w:r>
      <w:r w:rsidR="004D7F7B">
        <w:rPr>
          <w:lang w:eastAsia="zh-CN"/>
        </w:rPr>
        <w:t xml:space="preserve">fidelity equipment </w:t>
      </w:r>
      <w:r w:rsidR="00236A37" w:rsidRPr="002B3649">
        <w:rPr>
          <w:lang w:eastAsia="zh-CN"/>
        </w:rPr>
        <w:t>items is maintained.</w:t>
      </w:r>
      <w:r w:rsidR="0057128F">
        <w:rPr>
          <w:lang w:eastAsia="zh-CN"/>
        </w:rPr>
        <w:t xml:space="preserve"> </w:t>
      </w:r>
      <w:r w:rsidR="00236A37" w:rsidRPr="002B3649">
        <w:rPr>
          <w:lang w:eastAsia="zh-CN"/>
        </w:rPr>
        <w:t>Online learning programs are also available to our staff with regard to technical support from Laerdal</w:t>
      </w:r>
      <w:r w:rsidR="009A62F5">
        <w:rPr>
          <w:lang w:eastAsia="zh-CN"/>
        </w:rPr>
        <w:t xml:space="preserve"> which serves as a refresher and reduces downtime of staff to travel to attend training</w:t>
      </w:r>
      <w:r w:rsidR="00236A37" w:rsidRPr="002B3649">
        <w:rPr>
          <w:lang w:eastAsia="zh-CN"/>
        </w:rPr>
        <w:t>.</w:t>
      </w:r>
    </w:p>
    <w:p w:rsidR="009A62F5" w:rsidRPr="00EB53A7" w:rsidRDefault="00236A37" w:rsidP="00EB53A7">
      <w:pPr>
        <w:pStyle w:val="Healthbullet1lastline"/>
        <w:rPr>
          <w:lang w:eastAsia="zh-CN"/>
        </w:rPr>
      </w:pPr>
      <w:r w:rsidRPr="002B3649">
        <w:rPr>
          <w:lang w:eastAsia="zh-CN"/>
        </w:rPr>
        <w:t>Interdisciplinary team teaching for other learners</w:t>
      </w:r>
      <w:r w:rsidRPr="004D7F7B">
        <w:rPr>
          <w:lang w:eastAsia="zh-CN"/>
        </w:rPr>
        <w:t>:</w:t>
      </w:r>
      <w:r w:rsidR="0057128F">
        <w:rPr>
          <w:lang w:eastAsia="zh-CN"/>
        </w:rPr>
        <w:t xml:space="preserve"> </w:t>
      </w:r>
      <w:r w:rsidR="004D7F7B">
        <w:rPr>
          <w:lang w:eastAsia="zh-CN"/>
        </w:rPr>
        <w:t>T</w:t>
      </w:r>
      <w:r w:rsidRPr="004D7F7B">
        <w:rPr>
          <w:lang w:eastAsia="zh-CN"/>
        </w:rPr>
        <w:t>he</w:t>
      </w:r>
      <w:r w:rsidRPr="002B3649">
        <w:rPr>
          <w:lang w:eastAsia="zh-CN"/>
        </w:rPr>
        <w:t xml:space="preserve"> education team has worked collaboratively with Bendigo Health emergency, </w:t>
      </w:r>
      <w:r w:rsidR="00553431" w:rsidRPr="002B3649">
        <w:rPr>
          <w:lang w:eastAsia="zh-CN"/>
        </w:rPr>
        <w:t>anaesthetic and</w:t>
      </w:r>
      <w:r w:rsidRPr="002B3649">
        <w:rPr>
          <w:lang w:eastAsia="zh-CN"/>
        </w:rPr>
        <w:t xml:space="preserve"> ICU physicians to</w:t>
      </w:r>
      <w:r w:rsidR="009A470E">
        <w:rPr>
          <w:lang w:eastAsia="zh-CN"/>
        </w:rPr>
        <w:t xml:space="preserve"> team teach in simulations for </w:t>
      </w:r>
      <w:r w:rsidRPr="002B3649">
        <w:rPr>
          <w:lang w:eastAsia="zh-CN"/>
        </w:rPr>
        <w:t>other learner</w:t>
      </w:r>
      <w:r w:rsidR="004D7F7B">
        <w:rPr>
          <w:lang w:eastAsia="zh-CN"/>
        </w:rPr>
        <w:t>s</w:t>
      </w:r>
      <w:r w:rsidR="009A470E">
        <w:rPr>
          <w:lang w:eastAsia="zh-CN"/>
        </w:rPr>
        <w:t>.</w:t>
      </w:r>
      <w:r w:rsidR="0057128F">
        <w:rPr>
          <w:lang w:eastAsia="zh-CN"/>
        </w:rPr>
        <w:t xml:space="preserve"> </w:t>
      </w:r>
      <w:r w:rsidR="009A470E">
        <w:rPr>
          <w:lang w:eastAsia="zh-CN"/>
        </w:rPr>
        <w:t>M</w:t>
      </w:r>
      <w:r w:rsidRPr="002B3649">
        <w:rPr>
          <w:lang w:eastAsia="zh-CN"/>
        </w:rPr>
        <w:t>any of these sessions have included senior medical and nursing staff. The efficient utilisation of senior medical staff and co</w:t>
      </w:r>
      <w:r w:rsidR="004D0DE4">
        <w:rPr>
          <w:lang w:eastAsia="zh-CN"/>
        </w:rPr>
        <w:t>-</w:t>
      </w:r>
      <w:r w:rsidRPr="002B3649">
        <w:rPr>
          <w:lang w:eastAsia="zh-CN"/>
        </w:rPr>
        <w:t>teach</w:t>
      </w:r>
      <w:r w:rsidR="004D7F7B">
        <w:rPr>
          <w:lang w:eastAsia="zh-CN"/>
        </w:rPr>
        <w:t>ing</w:t>
      </w:r>
      <w:r w:rsidRPr="002B3649">
        <w:rPr>
          <w:lang w:eastAsia="zh-CN"/>
        </w:rPr>
        <w:t xml:space="preserve"> for simulations has </w:t>
      </w:r>
      <w:r w:rsidR="004D7F7B">
        <w:rPr>
          <w:lang w:eastAsia="zh-CN"/>
        </w:rPr>
        <w:t>decreased</w:t>
      </w:r>
      <w:r w:rsidRPr="002B3649">
        <w:rPr>
          <w:lang w:eastAsia="zh-CN"/>
        </w:rPr>
        <w:t xml:space="preserve"> the burden o</w:t>
      </w:r>
      <w:r w:rsidR="004D7F7B">
        <w:rPr>
          <w:lang w:eastAsia="zh-CN"/>
        </w:rPr>
        <w:t>n</w:t>
      </w:r>
      <w:r w:rsidRPr="002B3649">
        <w:rPr>
          <w:lang w:eastAsia="zh-CN"/>
        </w:rPr>
        <w:t xml:space="preserve"> the teaching team. Overall</w:t>
      </w:r>
      <w:r w:rsidR="009A470E">
        <w:rPr>
          <w:lang w:eastAsia="zh-CN"/>
        </w:rPr>
        <w:t>,</w:t>
      </w:r>
      <w:r w:rsidRPr="002B3649">
        <w:rPr>
          <w:lang w:eastAsia="zh-CN"/>
        </w:rPr>
        <w:t xml:space="preserve"> this has increase</w:t>
      </w:r>
      <w:r w:rsidR="00016C68" w:rsidRPr="002B3649">
        <w:rPr>
          <w:lang w:eastAsia="zh-CN"/>
        </w:rPr>
        <w:t>d</w:t>
      </w:r>
      <w:r w:rsidRPr="002B3649">
        <w:rPr>
          <w:lang w:eastAsia="zh-CN"/>
        </w:rPr>
        <w:t xml:space="preserve"> the teaching capacity of the </w:t>
      </w:r>
      <w:r w:rsidR="00553431">
        <w:rPr>
          <w:lang w:eastAsia="zh-CN"/>
        </w:rPr>
        <w:t>SLE team</w:t>
      </w:r>
      <w:r w:rsidR="00553431" w:rsidRPr="002B3649">
        <w:rPr>
          <w:lang w:eastAsia="zh-CN"/>
        </w:rPr>
        <w:t xml:space="preserve"> </w:t>
      </w:r>
      <w:r w:rsidR="004D0DE4">
        <w:rPr>
          <w:lang w:eastAsia="zh-CN"/>
        </w:rPr>
        <w:t>and allows for</w:t>
      </w:r>
      <w:r w:rsidRPr="002B3649">
        <w:rPr>
          <w:lang w:eastAsia="zh-CN"/>
        </w:rPr>
        <w:t xml:space="preserve"> more than one simulation </w:t>
      </w:r>
      <w:r w:rsidR="004D7F7B">
        <w:rPr>
          <w:lang w:eastAsia="zh-CN"/>
        </w:rPr>
        <w:t>scenario</w:t>
      </w:r>
      <w:r w:rsidR="004D0DE4">
        <w:rPr>
          <w:lang w:eastAsia="zh-CN"/>
        </w:rPr>
        <w:t xml:space="preserve"> to be performed</w:t>
      </w:r>
      <w:r w:rsidRPr="002B3649">
        <w:rPr>
          <w:lang w:eastAsia="zh-CN"/>
        </w:rPr>
        <w:t xml:space="preserve"> at the same time. The </w:t>
      </w:r>
      <w:r w:rsidR="00553431">
        <w:rPr>
          <w:lang w:eastAsia="zh-CN"/>
        </w:rPr>
        <w:t>SLE team</w:t>
      </w:r>
      <w:r w:rsidRPr="002B3649">
        <w:rPr>
          <w:lang w:eastAsia="zh-CN"/>
        </w:rPr>
        <w:t xml:space="preserve"> endeavours to continue this collaborative relationship with B</w:t>
      </w:r>
      <w:r w:rsidR="009A470E">
        <w:rPr>
          <w:lang w:eastAsia="zh-CN"/>
        </w:rPr>
        <w:t>endigo Health</w:t>
      </w:r>
      <w:r w:rsidRPr="002B3649">
        <w:rPr>
          <w:lang w:eastAsia="zh-CN"/>
        </w:rPr>
        <w:t xml:space="preserve"> </w:t>
      </w:r>
      <w:r w:rsidR="00553431">
        <w:rPr>
          <w:lang w:eastAsia="zh-CN"/>
        </w:rPr>
        <w:t>throughout 2013 and</w:t>
      </w:r>
      <w:r w:rsidRPr="002B3649">
        <w:rPr>
          <w:lang w:eastAsia="zh-CN"/>
        </w:rPr>
        <w:t xml:space="preserve"> </w:t>
      </w:r>
      <w:r w:rsidR="004D0DE4">
        <w:rPr>
          <w:lang w:eastAsia="zh-CN"/>
        </w:rPr>
        <w:t>into</w:t>
      </w:r>
      <w:r w:rsidR="00EB53A7">
        <w:rPr>
          <w:lang w:eastAsia="zh-CN"/>
        </w:rPr>
        <w:t xml:space="preserve"> 2014.</w:t>
      </w:r>
    </w:p>
    <w:p w:rsidR="002E42E9" w:rsidRPr="00EB53A7" w:rsidRDefault="009A62F5" w:rsidP="00EB53A7">
      <w:pPr>
        <w:pStyle w:val="Healthheading3"/>
      </w:pPr>
      <w:r w:rsidRPr="00EB53A7">
        <w:t>Scenario development</w:t>
      </w:r>
    </w:p>
    <w:p w:rsidR="00235808" w:rsidRPr="00EB53A7" w:rsidRDefault="009A62F5" w:rsidP="00EB53A7">
      <w:pPr>
        <w:pStyle w:val="Healthbody"/>
      </w:pPr>
      <w:r w:rsidRPr="00EB53A7">
        <w:t>The project</w:t>
      </w:r>
      <w:r w:rsidR="002E42E9" w:rsidRPr="00EB53A7">
        <w:t>’</w:t>
      </w:r>
      <w:r w:rsidRPr="00EB53A7">
        <w:t xml:space="preserve">s educator team has developed a suite of scenarios which will save them time in the future in terms of curriculum design and planning specific sessions or lesson plans. Some of these scenarios are available for viewing </w:t>
      </w:r>
      <w:r w:rsidR="005B0656">
        <w:t>on viCPortal (</w:t>
      </w:r>
      <w:hyperlink r:id="rId13" w:history="1">
        <w:r w:rsidR="005B0656" w:rsidRPr="001D28ED">
          <w:rPr>
            <w:rStyle w:val="Hyperlink"/>
          </w:rPr>
          <w:t>https://vicportal.net.au/vicportal/</w:t>
        </w:r>
      </w:hyperlink>
      <w:r w:rsidR="005B0656">
        <w:t>):</w:t>
      </w:r>
    </w:p>
    <w:p w:rsidR="005B0656" w:rsidRPr="005B0656" w:rsidRDefault="005B0656" w:rsidP="005B0656">
      <w:pPr>
        <w:pStyle w:val="Healthbullet1"/>
      </w:pPr>
      <w:r w:rsidRPr="005B0656">
        <w:t>ALS Curriculum Module: LM Monash University, SLE Fixed Term</w:t>
      </w:r>
    </w:p>
    <w:p w:rsidR="005B0656" w:rsidRPr="005B0656" w:rsidRDefault="005B0656" w:rsidP="005B0656">
      <w:pPr>
        <w:pStyle w:val="Healthbullet1"/>
      </w:pPr>
      <w:r w:rsidRPr="005B0656">
        <w:t>Scenario Acute Pulmonary Oedema: LM Monash University, SLE Fixed Term</w:t>
      </w:r>
    </w:p>
    <w:p w:rsidR="005B0656" w:rsidRPr="005B0656" w:rsidRDefault="005B0656" w:rsidP="005B0656">
      <w:pPr>
        <w:pStyle w:val="Healthbullet1"/>
      </w:pPr>
      <w:r w:rsidRPr="005B0656">
        <w:t>Interdisciplinary Rural Simulation: LM Monash University, SLE Fixed Term</w:t>
      </w:r>
    </w:p>
    <w:p w:rsidR="005B0656" w:rsidRPr="005B0656" w:rsidRDefault="005B0656" w:rsidP="005B0656">
      <w:pPr>
        <w:pStyle w:val="Healthbullet1"/>
      </w:pPr>
      <w:r w:rsidRPr="005B0656">
        <w:t>BLS AED Training Package: LM Monash University, SLE Fixed Term</w:t>
      </w:r>
    </w:p>
    <w:p w:rsidR="005B0656" w:rsidRPr="005B0656" w:rsidRDefault="005B0656" w:rsidP="005B0656">
      <w:pPr>
        <w:pStyle w:val="Healthbullet1"/>
      </w:pPr>
      <w:r w:rsidRPr="005B0656">
        <w:t>Scenario Confused Patient: LM Monash University, SLE Fixed Term</w:t>
      </w:r>
    </w:p>
    <w:p w:rsidR="005B0656" w:rsidRPr="005B0656" w:rsidRDefault="005B0656" w:rsidP="005B0656">
      <w:pPr>
        <w:pStyle w:val="Healthbullet1"/>
      </w:pPr>
      <w:r w:rsidRPr="005B0656">
        <w:t>Implanted Venous Ports: LM Monash University, SLE Fixed Term</w:t>
      </w:r>
    </w:p>
    <w:p w:rsidR="005B0656" w:rsidRPr="005B0656" w:rsidRDefault="005B0656" w:rsidP="005B0656">
      <w:pPr>
        <w:pStyle w:val="Healthbullet1"/>
      </w:pPr>
      <w:r w:rsidRPr="005B0656">
        <w:t>Vascular Access Device Setup: LM Monash University, SLE Fixed Term</w:t>
      </w:r>
    </w:p>
    <w:p w:rsidR="005B0656" w:rsidRPr="005B0656" w:rsidRDefault="005B0656" w:rsidP="005B0656">
      <w:pPr>
        <w:pStyle w:val="Healthbullet1"/>
      </w:pPr>
      <w:r w:rsidRPr="005B0656">
        <w:t>PICC Line Presentation: LM Monash University, SLE Fixed Term</w:t>
      </w:r>
    </w:p>
    <w:p w:rsidR="005B0656" w:rsidRPr="005B0656" w:rsidRDefault="005B0656" w:rsidP="005B0656">
      <w:pPr>
        <w:pStyle w:val="Healthbullet1lastline"/>
      </w:pPr>
      <w:r w:rsidRPr="005B0656">
        <w:t>Immersive APO Scenario: LM Monash University, SLE Fixed Term</w:t>
      </w:r>
    </w:p>
    <w:p w:rsidR="005F7830" w:rsidRPr="005B0656" w:rsidRDefault="005B0656" w:rsidP="005B0656">
      <w:pPr>
        <w:pStyle w:val="Healthheading2"/>
      </w:pPr>
      <w:r w:rsidRPr="005B0656">
        <w:t>Limitations and s</w:t>
      </w:r>
      <w:r>
        <w:t>olutions</w:t>
      </w:r>
    </w:p>
    <w:p w:rsidR="00145B65" w:rsidRPr="005B0656" w:rsidRDefault="00D65AD5" w:rsidP="005B0656">
      <w:pPr>
        <w:pStyle w:val="Healthbody"/>
      </w:pPr>
      <w:r w:rsidRPr="005B0656">
        <w:t>T</w:t>
      </w:r>
      <w:r w:rsidR="000B205E" w:rsidRPr="005B0656">
        <w:t xml:space="preserve">he limitations </w:t>
      </w:r>
      <w:r w:rsidR="00CF5B67" w:rsidRPr="005B0656">
        <w:t xml:space="preserve">and challenges </w:t>
      </w:r>
      <w:r w:rsidRPr="005B0656">
        <w:t xml:space="preserve">encountered by the </w:t>
      </w:r>
      <w:r w:rsidR="00364ABC">
        <w:t>LM SLE</w:t>
      </w:r>
      <w:r w:rsidRPr="005B0656">
        <w:t xml:space="preserve"> </w:t>
      </w:r>
      <w:r w:rsidR="00235808" w:rsidRPr="005B0656">
        <w:t>t</w:t>
      </w:r>
      <w:r w:rsidRPr="005B0656">
        <w:t>eam were</w:t>
      </w:r>
      <w:r w:rsidR="000B205E" w:rsidRPr="005B0656">
        <w:t>:</w:t>
      </w:r>
    </w:p>
    <w:p w:rsidR="005372C4" w:rsidRPr="005B0656" w:rsidRDefault="00DD7C96" w:rsidP="005B0656">
      <w:pPr>
        <w:pStyle w:val="Healthbullet1"/>
      </w:pPr>
      <w:r w:rsidRPr="005B0656">
        <w:t>Delays in purchasing and delivery meant that tra</w:t>
      </w:r>
      <w:r w:rsidR="00CE5FA2" w:rsidRPr="005B0656">
        <w:t xml:space="preserve">ining delivery was also delayed. </w:t>
      </w:r>
      <w:r w:rsidR="005372C4" w:rsidRPr="005B0656">
        <w:t xml:space="preserve">The project </w:t>
      </w:r>
      <w:r w:rsidR="00235808" w:rsidRPr="005B0656">
        <w:t xml:space="preserve">partners </w:t>
      </w:r>
      <w:r w:rsidR="005372C4" w:rsidRPr="005B0656">
        <w:t xml:space="preserve">increased administrative and educator FTE </w:t>
      </w:r>
      <w:r w:rsidR="002D0BB0">
        <w:t>in the first-half of the 2012/</w:t>
      </w:r>
      <w:r w:rsidR="005372C4" w:rsidRPr="005B0656">
        <w:t xml:space="preserve">13 financial year commensurate with the unspent fixed term </w:t>
      </w:r>
      <w:r w:rsidRPr="005B0656">
        <w:t>funding.</w:t>
      </w:r>
      <w:r w:rsidR="005372C4" w:rsidRPr="005B0656">
        <w:t xml:space="preserve"> This ensure</w:t>
      </w:r>
      <w:r w:rsidR="000B205E" w:rsidRPr="005B0656">
        <w:t>d</w:t>
      </w:r>
      <w:r w:rsidR="005372C4" w:rsidRPr="005B0656">
        <w:t xml:space="preserve"> that </w:t>
      </w:r>
      <w:r w:rsidR="000B205E" w:rsidRPr="005B0656">
        <w:t xml:space="preserve">the </w:t>
      </w:r>
      <w:r w:rsidR="005372C4" w:rsidRPr="005B0656">
        <w:t>SLE</w:t>
      </w:r>
      <w:r w:rsidR="000B205E" w:rsidRPr="005B0656">
        <w:t xml:space="preserve"> outreach education objectives we</w:t>
      </w:r>
      <w:r w:rsidR="005372C4" w:rsidRPr="005B0656">
        <w:t xml:space="preserve">re met </w:t>
      </w:r>
      <w:r w:rsidR="00CE5FA2" w:rsidRPr="005B0656">
        <w:t xml:space="preserve">despite the shorter time </w:t>
      </w:r>
      <w:r w:rsidR="000B205E" w:rsidRPr="005B0656">
        <w:t>frames.</w:t>
      </w:r>
    </w:p>
    <w:p w:rsidR="005372C4" w:rsidRPr="005B0656" w:rsidRDefault="00DD7C96" w:rsidP="005B0656">
      <w:pPr>
        <w:pStyle w:val="Healthbullet1"/>
      </w:pPr>
      <w:r w:rsidRPr="005B0656">
        <w:t xml:space="preserve">The </w:t>
      </w:r>
      <w:r w:rsidR="00553431" w:rsidRPr="005B0656">
        <w:t>short</w:t>
      </w:r>
      <w:r w:rsidR="002D0BB0">
        <w:t>-</w:t>
      </w:r>
      <w:r w:rsidR="00553431" w:rsidRPr="005B0656">
        <w:t>term (</w:t>
      </w:r>
      <w:r w:rsidR="002D0BB0">
        <w:t>twelve</w:t>
      </w:r>
      <w:r w:rsidR="00553431" w:rsidRPr="005B0656">
        <w:t xml:space="preserve"> months) </w:t>
      </w:r>
      <w:r w:rsidR="00235808" w:rsidRPr="005B0656">
        <w:t xml:space="preserve">contracts offered for </w:t>
      </w:r>
      <w:r w:rsidR="00B076DB" w:rsidRPr="005B0656">
        <w:t>the SLE</w:t>
      </w:r>
      <w:r w:rsidRPr="005B0656">
        <w:t xml:space="preserve"> technician role</w:t>
      </w:r>
      <w:r w:rsidR="00235808" w:rsidRPr="005B0656">
        <w:t>s</w:t>
      </w:r>
      <w:r w:rsidRPr="005B0656">
        <w:t xml:space="preserve"> </w:t>
      </w:r>
      <w:r w:rsidR="00235808" w:rsidRPr="005B0656">
        <w:t xml:space="preserve">meant it was </w:t>
      </w:r>
      <w:r w:rsidRPr="005B0656">
        <w:t>difficult to recruit to</w:t>
      </w:r>
      <w:r w:rsidR="00235808" w:rsidRPr="005B0656">
        <w:t xml:space="preserve"> these positions</w:t>
      </w:r>
      <w:r w:rsidRPr="005B0656">
        <w:t xml:space="preserve">. As a result technicians were employed on a </w:t>
      </w:r>
      <w:r w:rsidR="005372C4" w:rsidRPr="005B0656">
        <w:t xml:space="preserve">casual </w:t>
      </w:r>
      <w:r w:rsidRPr="005B0656">
        <w:t>basis</w:t>
      </w:r>
      <w:r w:rsidR="00BA36EB" w:rsidRPr="005B0656">
        <w:t xml:space="preserve"> </w:t>
      </w:r>
      <w:r w:rsidR="005372C4" w:rsidRPr="005B0656">
        <w:t xml:space="preserve">initially </w:t>
      </w:r>
      <w:r w:rsidRPr="005B0656">
        <w:t xml:space="preserve">to support </w:t>
      </w:r>
      <w:r w:rsidR="00235808" w:rsidRPr="005B0656">
        <w:t>training demand</w:t>
      </w:r>
      <w:r w:rsidRPr="005B0656">
        <w:t>. Eventually these positions were filled</w:t>
      </w:r>
      <w:r w:rsidR="00553431" w:rsidRPr="005B0656">
        <w:t xml:space="preserve"> with longer or more substantive hours in their contracts</w:t>
      </w:r>
      <w:r w:rsidR="00235808" w:rsidRPr="005B0656">
        <w:t xml:space="preserve"> for the technicians.</w:t>
      </w:r>
    </w:p>
    <w:p w:rsidR="00235808" w:rsidRPr="005B0656" w:rsidRDefault="00235808" w:rsidP="005B0656">
      <w:pPr>
        <w:pStyle w:val="Healthbullet1"/>
      </w:pPr>
      <w:r w:rsidRPr="005B0656">
        <w:t>The specialist nature of the technician role markedly reduced the pool of people in our region which were available for recruitment and were adequately skilled up front to do the job.</w:t>
      </w:r>
    </w:p>
    <w:p w:rsidR="00D6081E" w:rsidRPr="005B0656" w:rsidRDefault="002D0BB0" w:rsidP="005B0656">
      <w:pPr>
        <w:pStyle w:val="Healthbullet1"/>
      </w:pPr>
      <w:r>
        <w:t>Audio</w:t>
      </w:r>
      <w:r w:rsidR="00D6081E" w:rsidRPr="005B0656">
        <w:t>visual and Studio Code systems were installed</w:t>
      </w:r>
      <w:r w:rsidR="00CE5FA2" w:rsidRPr="005B0656">
        <w:t>. H</w:t>
      </w:r>
      <w:r w:rsidR="00D6081E" w:rsidRPr="005B0656">
        <w:t>owever</w:t>
      </w:r>
      <w:r w:rsidR="00CE5FA2" w:rsidRPr="005B0656">
        <w:t>,</w:t>
      </w:r>
      <w:r w:rsidR="00D6081E" w:rsidRPr="005B0656">
        <w:t xml:space="preserve"> there ha</w:t>
      </w:r>
      <w:r w:rsidR="00CE5FA2" w:rsidRPr="005B0656">
        <w:t>s</w:t>
      </w:r>
      <w:r w:rsidR="00D6081E" w:rsidRPr="005B0656">
        <w:t xml:space="preserve"> been </w:t>
      </w:r>
      <w:r w:rsidR="00BA36EB" w:rsidRPr="005B0656">
        <w:t>some</w:t>
      </w:r>
      <w:r w:rsidR="00D6081E" w:rsidRPr="005B0656">
        <w:t xml:space="preserve"> ongoing technical issues related to Laerdal based problems with the patient simulator </w:t>
      </w:r>
      <w:r>
        <w:t>Sim</w:t>
      </w:r>
      <w:r w:rsidR="00D6081E" w:rsidRPr="005B0656">
        <w:t>Man</w:t>
      </w:r>
      <w:r>
        <w:t xml:space="preserve"> 3G</w:t>
      </w:r>
      <w:r w:rsidR="00D6081E" w:rsidRPr="005B0656">
        <w:t xml:space="preserve"> leading to down-time and interrupted staff development time. Formal training has been inconsistent due to lack of time availability and access </w:t>
      </w:r>
      <w:r w:rsidR="00235808" w:rsidRPr="005B0656">
        <w:t xml:space="preserve">by </w:t>
      </w:r>
      <w:r w:rsidR="00CE5FA2" w:rsidRPr="005B0656">
        <w:t>e</w:t>
      </w:r>
      <w:r w:rsidR="00235808" w:rsidRPr="005B0656">
        <w:t>ducators because of full</w:t>
      </w:r>
      <w:r w:rsidR="00D6081E" w:rsidRPr="005B0656">
        <w:t xml:space="preserve"> teaching loads. </w:t>
      </w:r>
      <w:r w:rsidR="00235808" w:rsidRPr="005B0656">
        <w:t xml:space="preserve">The </w:t>
      </w:r>
      <w:r w:rsidR="00CE5FA2" w:rsidRPr="005B0656">
        <w:t>e</w:t>
      </w:r>
      <w:r w:rsidR="00235808" w:rsidRPr="005B0656">
        <w:t>ducator team is</w:t>
      </w:r>
      <w:r w:rsidR="00D6081E" w:rsidRPr="005B0656">
        <w:t xml:space="preserve"> currently engaging the Studio Code supplier and IT specialists internally to </w:t>
      </w:r>
      <w:r w:rsidR="00CE5FA2" w:rsidRPr="005B0656">
        <w:t>up-</w:t>
      </w:r>
      <w:r w:rsidR="004A4357" w:rsidRPr="005B0656">
        <w:t>skill</w:t>
      </w:r>
      <w:r w:rsidR="00D6081E" w:rsidRPr="005B0656">
        <w:t xml:space="preserve"> and expand </w:t>
      </w:r>
      <w:r w:rsidR="00CE5FA2" w:rsidRPr="005B0656">
        <w:t xml:space="preserve">their </w:t>
      </w:r>
      <w:r w:rsidR="00D6081E" w:rsidRPr="005B0656">
        <w:t>trouble shooting skills.</w:t>
      </w:r>
    </w:p>
    <w:p w:rsidR="00CE5FA2" w:rsidRPr="005B0656" w:rsidRDefault="00235808" w:rsidP="005B0656">
      <w:pPr>
        <w:pStyle w:val="Healthbullet1"/>
      </w:pPr>
      <w:r w:rsidRPr="005B0656">
        <w:t>The project partner</w:t>
      </w:r>
      <w:r w:rsidR="00CE5FA2" w:rsidRPr="005B0656">
        <w:t>s</w:t>
      </w:r>
      <w:r w:rsidRPr="005B0656">
        <w:t xml:space="preserve"> ha</w:t>
      </w:r>
      <w:r w:rsidR="00CE5FA2" w:rsidRPr="005B0656">
        <w:t>ve</w:t>
      </w:r>
      <w:r w:rsidRPr="005B0656">
        <w:t xml:space="preserve"> instigated a </w:t>
      </w:r>
      <w:r w:rsidR="008B1E09" w:rsidRPr="005B0656">
        <w:t>network</w:t>
      </w:r>
      <w:r w:rsidRPr="005B0656">
        <w:t xml:space="preserve"> for </w:t>
      </w:r>
      <w:r w:rsidR="008B1E09" w:rsidRPr="005B0656">
        <w:t>training</w:t>
      </w:r>
      <w:r w:rsidRPr="005B0656">
        <w:t xml:space="preserve"> an</w:t>
      </w:r>
      <w:r w:rsidR="008B1E09" w:rsidRPr="005B0656">
        <w:t>d</w:t>
      </w:r>
      <w:r w:rsidRPr="005B0656">
        <w:t xml:space="preserve"> </w:t>
      </w:r>
      <w:r w:rsidR="008B1E09" w:rsidRPr="005B0656">
        <w:t>up skilling technicians</w:t>
      </w:r>
      <w:r w:rsidRPr="005B0656">
        <w:t xml:space="preserve"> across the L</w:t>
      </w:r>
      <w:r w:rsidR="00CE5FA2" w:rsidRPr="005B0656">
        <w:t>M</w:t>
      </w:r>
      <w:r w:rsidRPr="005B0656">
        <w:t xml:space="preserve"> and Hume regions. This is an ongoing </w:t>
      </w:r>
      <w:r w:rsidR="008B1E09" w:rsidRPr="005B0656">
        <w:t>training</w:t>
      </w:r>
      <w:r w:rsidRPr="005B0656">
        <w:t xml:space="preserve"> model for the professional </w:t>
      </w:r>
      <w:r w:rsidR="008B1E09" w:rsidRPr="005B0656">
        <w:t>development</w:t>
      </w:r>
      <w:r w:rsidRPr="005B0656">
        <w:t xml:space="preserve"> of technicians</w:t>
      </w:r>
      <w:r w:rsidR="008B1E09" w:rsidRPr="005B0656">
        <w:t>.</w:t>
      </w:r>
    </w:p>
    <w:p w:rsidR="005372C4" w:rsidRPr="005B0656" w:rsidRDefault="00D65AD5" w:rsidP="005B0656">
      <w:pPr>
        <w:pStyle w:val="Healthbullet1"/>
      </w:pPr>
      <w:r w:rsidRPr="005B0656">
        <w:t>Laerdal w</w:t>
      </w:r>
      <w:r w:rsidR="00CE5FA2" w:rsidRPr="005B0656">
        <w:t>as</w:t>
      </w:r>
      <w:r w:rsidRPr="005B0656">
        <w:t xml:space="preserve"> unable to service the needs of all Victorian clients due to the sheer volume of equipment ordered within a short time</w:t>
      </w:r>
      <w:r w:rsidR="00CE5FA2" w:rsidRPr="005B0656">
        <w:t xml:space="preserve"> </w:t>
      </w:r>
      <w:r w:rsidRPr="005B0656">
        <w:t>frame. This meant that although equipment was delivered it could not be used until Laerdal was able to deliver training</w:t>
      </w:r>
      <w:r w:rsidR="00CE5FA2" w:rsidRPr="005B0656">
        <w:t>,</w:t>
      </w:r>
      <w:r w:rsidRPr="005B0656">
        <w:t xml:space="preserve"> otherwise the warranty would be void. This had the potential to delay training </w:t>
      </w:r>
      <w:r w:rsidR="00553431" w:rsidRPr="005B0656">
        <w:t>throughout</w:t>
      </w:r>
      <w:r w:rsidRPr="005B0656">
        <w:t xml:space="preserve"> the region and prevent growth from being achieved.</w:t>
      </w:r>
      <w:r w:rsidR="0057128F">
        <w:t xml:space="preserve"> </w:t>
      </w:r>
      <w:r w:rsidR="00553431" w:rsidRPr="005B0656">
        <w:t xml:space="preserve">Education teams </w:t>
      </w:r>
      <w:r w:rsidR="005372C4" w:rsidRPr="005B0656">
        <w:t xml:space="preserve">used </w:t>
      </w:r>
      <w:r w:rsidRPr="005B0656">
        <w:t xml:space="preserve">existing SLE </w:t>
      </w:r>
      <w:r w:rsidR="005372C4" w:rsidRPr="005B0656">
        <w:t xml:space="preserve">mannequins </w:t>
      </w:r>
      <w:r w:rsidR="00CE5FA2" w:rsidRPr="005B0656">
        <w:t xml:space="preserve">to ensure </w:t>
      </w:r>
      <w:r w:rsidR="0057128F">
        <w:t>in-reach</w:t>
      </w:r>
      <w:r w:rsidRPr="005B0656">
        <w:t xml:space="preserve"> and </w:t>
      </w:r>
      <w:r w:rsidR="000B205E" w:rsidRPr="005B0656">
        <w:t>outreach</w:t>
      </w:r>
      <w:r w:rsidRPr="005B0656">
        <w:t xml:space="preserve"> SLE education could be delivered in a timely manner</w:t>
      </w:r>
      <w:r w:rsidR="000B205E" w:rsidRPr="005B0656">
        <w:t>.</w:t>
      </w:r>
    </w:p>
    <w:p w:rsidR="005372C4" w:rsidRPr="005B0656" w:rsidRDefault="00D65AD5" w:rsidP="005B0656">
      <w:pPr>
        <w:pStyle w:val="Healthbullet1"/>
      </w:pPr>
      <w:r w:rsidRPr="005B0656">
        <w:t xml:space="preserve">One of the elements not considered in the proposal </w:t>
      </w:r>
      <w:r w:rsidR="008B1E09" w:rsidRPr="005B0656">
        <w:t xml:space="preserve">for funding </w:t>
      </w:r>
      <w:r w:rsidRPr="005B0656">
        <w:t xml:space="preserve">was the </w:t>
      </w:r>
      <w:r w:rsidR="002D0BB0">
        <w:t>w</w:t>
      </w:r>
      <w:r w:rsidR="000B205E" w:rsidRPr="005B0656">
        <w:t xml:space="preserve">orkplace </w:t>
      </w:r>
      <w:r w:rsidR="002D0BB0">
        <w:t>h</w:t>
      </w:r>
      <w:r w:rsidR="000B205E" w:rsidRPr="005B0656">
        <w:t xml:space="preserve">ealth </w:t>
      </w:r>
      <w:r w:rsidR="002D0BB0">
        <w:t>and</w:t>
      </w:r>
      <w:r w:rsidR="000B205E" w:rsidRPr="005B0656">
        <w:t xml:space="preserve"> </w:t>
      </w:r>
      <w:r w:rsidR="002D0BB0">
        <w:t>s</w:t>
      </w:r>
      <w:r w:rsidR="000B205E" w:rsidRPr="005B0656">
        <w:t>afety</w:t>
      </w:r>
      <w:r w:rsidR="005372C4" w:rsidRPr="005B0656">
        <w:t xml:space="preserve"> </w:t>
      </w:r>
      <w:r w:rsidR="002D0BB0">
        <w:t>h</w:t>
      </w:r>
      <w:r w:rsidR="005372C4" w:rsidRPr="005B0656">
        <w:t>azard</w:t>
      </w:r>
      <w:r w:rsidRPr="005B0656">
        <w:t xml:space="preserve"> of transporting heavy and </w:t>
      </w:r>
      <w:r w:rsidR="00DD7C96" w:rsidRPr="005B0656">
        <w:t>awkward</w:t>
      </w:r>
      <w:r w:rsidRPr="005B0656">
        <w:t xml:space="preserve"> SLE equipment to health services throughout the region. This risk was identified early in the project and</w:t>
      </w:r>
      <w:r w:rsidR="005372C4" w:rsidRPr="005B0656">
        <w:t xml:space="preserve"> </w:t>
      </w:r>
      <w:r w:rsidRPr="005B0656">
        <w:t>Monash University</w:t>
      </w:r>
      <w:r w:rsidR="00CE5FA2" w:rsidRPr="005B0656">
        <w:t>,</w:t>
      </w:r>
      <w:r w:rsidRPr="005B0656">
        <w:t xml:space="preserve"> </w:t>
      </w:r>
      <w:r w:rsidR="00553431" w:rsidRPr="005B0656">
        <w:t>as the lead</w:t>
      </w:r>
      <w:r w:rsidR="00CE5FA2" w:rsidRPr="005B0656">
        <w:t>,</w:t>
      </w:r>
      <w:r w:rsidR="00553431" w:rsidRPr="005B0656">
        <w:t xml:space="preserve"> </w:t>
      </w:r>
      <w:r w:rsidR="000B205E" w:rsidRPr="005B0656">
        <w:t xml:space="preserve">conducted </w:t>
      </w:r>
      <w:r w:rsidR="005372C4" w:rsidRPr="005B0656">
        <w:t xml:space="preserve">manual handling </w:t>
      </w:r>
      <w:r w:rsidRPr="005B0656">
        <w:t xml:space="preserve">and transport </w:t>
      </w:r>
      <w:r w:rsidR="005372C4" w:rsidRPr="005B0656">
        <w:t xml:space="preserve">assessments by a qualified </w:t>
      </w:r>
      <w:r w:rsidR="00145B65" w:rsidRPr="005B0656">
        <w:t>o</w:t>
      </w:r>
      <w:r w:rsidR="005372C4" w:rsidRPr="005B0656">
        <w:t xml:space="preserve">ccupational </w:t>
      </w:r>
      <w:r w:rsidR="00145B65" w:rsidRPr="005B0656">
        <w:t>t</w:t>
      </w:r>
      <w:r w:rsidR="005372C4" w:rsidRPr="005B0656">
        <w:t>herapist</w:t>
      </w:r>
      <w:r w:rsidR="000B205E" w:rsidRPr="005B0656">
        <w:t>.</w:t>
      </w:r>
      <w:r w:rsidR="0057128F">
        <w:t xml:space="preserve"> </w:t>
      </w:r>
      <w:r w:rsidR="00DD7C96" w:rsidRPr="005B0656">
        <w:t>Assistive devices such as t</w:t>
      </w:r>
      <w:r w:rsidRPr="005B0656">
        <w:t>rolleys</w:t>
      </w:r>
      <w:r w:rsidR="00DD7C96" w:rsidRPr="005B0656">
        <w:t>, wheelchairs</w:t>
      </w:r>
      <w:r w:rsidRPr="005B0656">
        <w:t xml:space="preserve"> and transport </w:t>
      </w:r>
      <w:r w:rsidR="00DD7C96" w:rsidRPr="005B0656">
        <w:t xml:space="preserve">with </w:t>
      </w:r>
      <w:r w:rsidRPr="005B0656">
        <w:t>appropriate</w:t>
      </w:r>
      <w:r w:rsidR="00DD7C96" w:rsidRPr="005B0656">
        <w:t xml:space="preserve"> lifting devices were identified during this process and funded within the </w:t>
      </w:r>
      <w:r w:rsidR="002D0BB0" w:rsidRPr="005B0656">
        <w:t>budgeted</w:t>
      </w:r>
      <w:r w:rsidR="00DD7C96" w:rsidRPr="005B0656">
        <w:t xml:space="preserve"> transport costs</w:t>
      </w:r>
      <w:r w:rsidR="00553431" w:rsidRPr="005B0656">
        <w:t xml:space="preserve"> via the project partners</w:t>
      </w:r>
      <w:r w:rsidR="000B205E" w:rsidRPr="005B0656">
        <w:t>.</w:t>
      </w:r>
    </w:p>
    <w:p w:rsidR="00CF5B67" w:rsidRPr="005B0656" w:rsidRDefault="00C6193F" w:rsidP="005B0656">
      <w:pPr>
        <w:pStyle w:val="Healthbullet1"/>
      </w:pPr>
      <w:r w:rsidRPr="005B0656">
        <w:t>Travelling l</w:t>
      </w:r>
      <w:r w:rsidR="00BA36EB" w:rsidRPr="005B0656">
        <w:t>ong</w:t>
      </w:r>
      <w:r w:rsidRPr="005B0656">
        <w:t xml:space="preserve"> distances on top o</w:t>
      </w:r>
      <w:r w:rsidR="00CE5FA2" w:rsidRPr="005B0656">
        <w:t>f delivering education sessions</w:t>
      </w:r>
      <w:r w:rsidRPr="005B0656">
        <w:t xml:space="preserve"> made outreach days </w:t>
      </w:r>
      <w:r w:rsidR="00720891" w:rsidRPr="005B0656">
        <w:t xml:space="preserve">an OH&amp;S </w:t>
      </w:r>
      <w:r w:rsidRPr="005B0656">
        <w:t>risk.</w:t>
      </w:r>
      <w:r w:rsidR="0057128F">
        <w:t xml:space="preserve"> </w:t>
      </w:r>
      <w:r w:rsidR="00720891" w:rsidRPr="005B0656">
        <w:t>Consequently</w:t>
      </w:r>
      <w:r w:rsidR="00607706" w:rsidRPr="005B0656">
        <w:t>,</w:t>
      </w:r>
      <w:r w:rsidR="00720891" w:rsidRPr="005B0656">
        <w:t xml:space="preserve"> on a number of occasions, educators stayed overnight </w:t>
      </w:r>
      <w:r w:rsidR="00CE5FA2" w:rsidRPr="005B0656">
        <w:t>and delivered two sessions back-to-</w:t>
      </w:r>
      <w:r w:rsidR="00720891" w:rsidRPr="005B0656">
        <w:t>back rather than delivering training on two separate occasions. This reduced travel time</w:t>
      </w:r>
      <w:r w:rsidR="002D0BB0">
        <w:t xml:space="preserve"> and</w:t>
      </w:r>
      <w:r w:rsidR="00720891" w:rsidRPr="005B0656">
        <w:t xml:space="preserve"> </w:t>
      </w:r>
      <w:r w:rsidR="00BA36EB" w:rsidRPr="005B0656">
        <w:t xml:space="preserve">managed </w:t>
      </w:r>
      <w:r w:rsidR="00720891" w:rsidRPr="005B0656">
        <w:t>OH&amp;S risks</w:t>
      </w:r>
      <w:r w:rsidR="00607706" w:rsidRPr="005B0656">
        <w:t>.</w:t>
      </w:r>
      <w:r w:rsidR="0057128F">
        <w:t xml:space="preserve"> </w:t>
      </w:r>
      <w:r w:rsidR="00607706" w:rsidRPr="005B0656">
        <w:t xml:space="preserve">The program has </w:t>
      </w:r>
      <w:r w:rsidR="00720891" w:rsidRPr="005B0656">
        <w:t xml:space="preserve">remained </w:t>
      </w:r>
      <w:r w:rsidR="00553431" w:rsidRPr="005B0656">
        <w:t>within budget.</w:t>
      </w:r>
    </w:p>
    <w:p w:rsidR="007810D7" w:rsidRPr="005B0656" w:rsidRDefault="00720891" w:rsidP="005B0656">
      <w:pPr>
        <w:pStyle w:val="Healthbullet1"/>
      </w:pPr>
      <w:r w:rsidRPr="005B0656">
        <w:t xml:space="preserve">The SLE outreach program coupled with existing SLE demand was such that </w:t>
      </w:r>
      <w:r w:rsidR="00A64210" w:rsidRPr="005B0656">
        <w:t>SLE staff found it difficult to take leave. As a result</w:t>
      </w:r>
      <w:r w:rsidR="00607706" w:rsidRPr="005B0656">
        <w:t>,</w:t>
      </w:r>
      <w:r w:rsidR="00A64210" w:rsidRPr="005B0656">
        <w:t xml:space="preserve"> staff </w:t>
      </w:r>
      <w:r w:rsidR="008B1E09" w:rsidRPr="005B0656">
        <w:t>workloads had to be reviewed regularly and schedules amended</w:t>
      </w:r>
      <w:r w:rsidR="00A64210" w:rsidRPr="005B0656">
        <w:t xml:space="preserve">. </w:t>
      </w:r>
      <w:r w:rsidR="008B1E09" w:rsidRPr="005B0656">
        <w:t>O</w:t>
      </w:r>
      <w:r w:rsidR="00A64210" w:rsidRPr="005B0656">
        <w:t xml:space="preserve">utreach services will be rationalised in future to ensure staff take leave at appropriate and sustainable intervals. </w:t>
      </w:r>
    </w:p>
    <w:p w:rsidR="008F5D4C" w:rsidRPr="005B0656" w:rsidRDefault="005B0656" w:rsidP="005B0656">
      <w:pPr>
        <w:pStyle w:val="Healthheading2"/>
      </w:pPr>
      <w:r w:rsidRPr="005B0656">
        <w:t>Case study</w:t>
      </w:r>
    </w:p>
    <w:p w:rsidR="001C3102" w:rsidRPr="005B0656" w:rsidRDefault="00C6193F" w:rsidP="005B0656">
      <w:pPr>
        <w:pStyle w:val="Healthbody"/>
      </w:pPr>
      <w:r w:rsidRPr="005B0656">
        <w:t>The S</w:t>
      </w:r>
      <w:r w:rsidR="003D7892" w:rsidRPr="005B0656">
        <w:t>LE</w:t>
      </w:r>
      <w:r w:rsidRPr="005B0656">
        <w:t xml:space="preserve"> </w:t>
      </w:r>
      <w:r w:rsidR="00BA36EB" w:rsidRPr="005B0656">
        <w:t xml:space="preserve">delivery </w:t>
      </w:r>
      <w:r w:rsidR="001C3102" w:rsidRPr="005B0656">
        <w:t>with</w:t>
      </w:r>
      <w:r w:rsidR="00BA36EB" w:rsidRPr="005B0656">
        <w:t>in</w:t>
      </w:r>
      <w:r w:rsidR="001C3102" w:rsidRPr="005B0656">
        <w:t xml:space="preserve"> the</w:t>
      </w:r>
      <w:r w:rsidR="00C165F7" w:rsidRPr="005B0656">
        <w:t xml:space="preserve"> Mildura</w:t>
      </w:r>
      <w:r w:rsidR="001C3102" w:rsidRPr="005B0656">
        <w:t xml:space="preserve"> </w:t>
      </w:r>
      <w:r w:rsidR="0057128F">
        <w:t>in-reach</w:t>
      </w:r>
      <w:r w:rsidR="00BA36EB" w:rsidRPr="005B0656">
        <w:t xml:space="preserve"> and</w:t>
      </w:r>
      <w:r w:rsidRPr="005B0656">
        <w:t xml:space="preserve"> </w:t>
      </w:r>
      <w:r w:rsidR="003D7892" w:rsidRPr="005B0656">
        <w:t>o</w:t>
      </w:r>
      <w:r w:rsidRPr="005B0656">
        <w:t xml:space="preserve">utreach </w:t>
      </w:r>
      <w:r w:rsidR="003D7892" w:rsidRPr="005B0656">
        <w:t>p</w:t>
      </w:r>
      <w:r w:rsidRPr="005B0656">
        <w:t xml:space="preserve">rogram ensured the development of a strong affiliation with Mildura Private Hospital. </w:t>
      </w:r>
      <w:r w:rsidR="00C165F7" w:rsidRPr="005B0656">
        <w:t xml:space="preserve">An </w:t>
      </w:r>
      <w:r w:rsidRPr="005B0656">
        <w:t>assess</w:t>
      </w:r>
      <w:r w:rsidR="00C165F7" w:rsidRPr="005B0656">
        <w:t>ment of</w:t>
      </w:r>
      <w:r w:rsidRPr="005B0656">
        <w:t xml:space="preserve"> the needs of the hospital </w:t>
      </w:r>
      <w:r w:rsidR="00C165F7" w:rsidRPr="005B0656">
        <w:t xml:space="preserve">was conducted </w:t>
      </w:r>
      <w:r w:rsidRPr="005B0656">
        <w:t xml:space="preserve">and education delivery </w:t>
      </w:r>
      <w:r w:rsidR="00C165F7" w:rsidRPr="005B0656">
        <w:t xml:space="preserve">was tailored </w:t>
      </w:r>
      <w:r w:rsidRPr="005B0656">
        <w:t xml:space="preserve">accordingly. The </w:t>
      </w:r>
      <w:r w:rsidR="00607706" w:rsidRPr="005B0656">
        <w:t>Mildura Private H</w:t>
      </w:r>
      <w:r w:rsidRPr="005B0656">
        <w:t xml:space="preserve">ospital </w:t>
      </w:r>
      <w:r w:rsidR="001C3102" w:rsidRPr="005B0656">
        <w:t>has reported in the past being</w:t>
      </w:r>
      <w:r w:rsidRPr="005B0656">
        <w:t xml:space="preserve"> limit</w:t>
      </w:r>
      <w:r w:rsidR="001C3102" w:rsidRPr="005B0656">
        <w:t>ed</w:t>
      </w:r>
      <w:r w:rsidRPr="005B0656">
        <w:t xml:space="preserve"> </w:t>
      </w:r>
      <w:r w:rsidR="003D7892" w:rsidRPr="005B0656">
        <w:t xml:space="preserve">to </w:t>
      </w:r>
      <w:r w:rsidRPr="005B0656">
        <w:t>accessing staff education</w:t>
      </w:r>
      <w:r w:rsidR="001C3102" w:rsidRPr="005B0656">
        <w:t xml:space="preserve"> partly from</w:t>
      </w:r>
      <w:r w:rsidRPr="005B0656">
        <w:t xml:space="preserve"> being in a rural setting</w:t>
      </w:r>
      <w:r w:rsidR="001C3102" w:rsidRPr="005B0656">
        <w:t xml:space="preserve"> which</w:t>
      </w:r>
      <w:r w:rsidRPr="005B0656">
        <w:t xml:space="preserve"> dictates </w:t>
      </w:r>
      <w:r w:rsidR="004D7F7B" w:rsidRPr="005B0656">
        <w:t>that</w:t>
      </w:r>
      <w:r w:rsidR="001C3102" w:rsidRPr="005B0656">
        <w:t xml:space="preserve"> staff</w:t>
      </w:r>
      <w:r w:rsidRPr="005B0656">
        <w:t xml:space="preserve"> have to either travel for education or </w:t>
      </w:r>
      <w:r w:rsidR="004D7F7B" w:rsidRPr="005B0656">
        <w:t>education</w:t>
      </w:r>
      <w:r w:rsidR="001C3102" w:rsidRPr="005B0656">
        <w:t xml:space="preserve"> needs to be brought</w:t>
      </w:r>
      <w:r w:rsidRPr="005B0656">
        <w:t xml:space="preserve"> to them. Both </w:t>
      </w:r>
      <w:r w:rsidR="004D7F7B" w:rsidRPr="005B0656">
        <w:t>issues</w:t>
      </w:r>
      <w:r w:rsidRPr="005B0656">
        <w:t xml:space="preserve"> have cost factors and time constraints associated with them. </w:t>
      </w:r>
    </w:p>
    <w:p w:rsidR="001C3102" w:rsidRPr="005B0656" w:rsidRDefault="001C3102" w:rsidP="005B0656">
      <w:pPr>
        <w:pStyle w:val="Healthbody"/>
      </w:pPr>
      <w:r w:rsidRPr="005B0656">
        <w:t xml:space="preserve">One case </w:t>
      </w:r>
      <w:r w:rsidR="005E43CF" w:rsidRPr="005B0656">
        <w:t>example</w:t>
      </w:r>
      <w:r w:rsidRPr="005B0656">
        <w:t xml:space="preserve"> is t</w:t>
      </w:r>
      <w:r w:rsidR="00C6193F" w:rsidRPr="005B0656">
        <w:t>he expertise and assistance provided by the S</w:t>
      </w:r>
      <w:r w:rsidR="003D7892" w:rsidRPr="005B0656">
        <w:t xml:space="preserve">LE </w:t>
      </w:r>
      <w:r w:rsidR="00607706" w:rsidRPr="005B0656">
        <w:t>o</w:t>
      </w:r>
      <w:r w:rsidR="00C6193F" w:rsidRPr="005B0656">
        <w:t xml:space="preserve">utreach </w:t>
      </w:r>
      <w:r w:rsidR="003D7892" w:rsidRPr="005B0656">
        <w:t>p</w:t>
      </w:r>
      <w:r w:rsidR="00C6193F" w:rsidRPr="005B0656">
        <w:t xml:space="preserve">rogram </w:t>
      </w:r>
      <w:r w:rsidRPr="005B0656">
        <w:t xml:space="preserve">which </w:t>
      </w:r>
      <w:r w:rsidR="00C6193F" w:rsidRPr="005B0656">
        <w:t xml:space="preserve">allowed surgical patients to benefit from epidural therapy for the first time at their facility. </w:t>
      </w:r>
    </w:p>
    <w:p w:rsidR="00C6193F" w:rsidRPr="005B0656" w:rsidRDefault="001C3102" w:rsidP="005B0656">
      <w:pPr>
        <w:pStyle w:val="Healthbody"/>
      </w:pPr>
      <w:r w:rsidRPr="005B0656">
        <w:t xml:space="preserve">A second case </w:t>
      </w:r>
      <w:r w:rsidR="005E43CF" w:rsidRPr="005B0656">
        <w:t>example</w:t>
      </w:r>
      <w:r w:rsidRPr="005B0656">
        <w:t xml:space="preserve"> was the delivery of an i</w:t>
      </w:r>
      <w:r w:rsidR="00C6193F" w:rsidRPr="005B0656">
        <w:t>mmersive simulation for Ambulance Victoria to assess an interstate staff member with a significant performance discrepancy. The S</w:t>
      </w:r>
      <w:r w:rsidR="003D7892" w:rsidRPr="005B0656">
        <w:t xml:space="preserve">LE </w:t>
      </w:r>
      <w:r w:rsidR="00C6193F" w:rsidRPr="005B0656">
        <w:t>enabled the above assessment procedure to take place in a realistic environment that was controlled, private, confidential and in a local setting whereby there was absolutely no risk to live patients.</w:t>
      </w:r>
    </w:p>
    <w:p w:rsidR="003D7892" w:rsidRPr="005B0656" w:rsidRDefault="005B0656" w:rsidP="005B0656">
      <w:pPr>
        <w:pStyle w:val="Healthheading2"/>
      </w:pPr>
      <w:r>
        <w:t>Evaluation</w:t>
      </w:r>
    </w:p>
    <w:p w:rsidR="0091023D" w:rsidRPr="005B0656" w:rsidRDefault="0091023D" w:rsidP="005B0656">
      <w:pPr>
        <w:pStyle w:val="Healthheading3"/>
      </w:pPr>
      <w:r w:rsidRPr="005B0656">
        <w:t xml:space="preserve">Evaluation </w:t>
      </w:r>
      <w:r w:rsidR="005B0656">
        <w:t>surveys</w:t>
      </w:r>
    </w:p>
    <w:p w:rsidR="0091023D" w:rsidRPr="005B0656" w:rsidRDefault="0091023D" w:rsidP="005B0656">
      <w:pPr>
        <w:pStyle w:val="Healthbody"/>
      </w:pPr>
      <w:r w:rsidRPr="005B0656">
        <w:t>S</w:t>
      </w:r>
      <w:r w:rsidR="003D7892" w:rsidRPr="005B0656">
        <w:t xml:space="preserve">ince the commencement of the </w:t>
      </w:r>
      <w:r w:rsidR="00364ABC">
        <w:t>LM SLE</w:t>
      </w:r>
      <w:r w:rsidRPr="005B0656">
        <w:t xml:space="preserve"> project</w:t>
      </w:r>
      <w:r w:rsidR="003D7892" w:rsidRPr="005B0656">
        <w:t>,</w:t>
      </w:r>
      <w:r w:rsidRPr="005B0656">
        <w:t xml:space="preserve"> 538 survey responses have been collected.</w:t>
      </w:r>
      <w:r w:rsidR="0057128F">
        <w:t xml:space="preserve"> </w:t>
      </w:r>
      <w:r w:rsidRPr="005B0656">
        <w:t xml:space="preserve">These have been </w:t>
      </w:r>
      <w:r w:rsidR="00302753" w:rsidRPr="005B0656">
        <w:t>recorded</w:t>
      </w:r>
      <w:r w:rsidRPr="005B0656">
        <w:t xml:space="preserve"> directly into </w:t>
      </w:r>
      <w:r w:rsidR="002D0BB0">
        <w:t>S</w:t>
      </w:r>
      <w:r w:rsidRPr="005B0656">
        <w:t xml:space="preserve">urvey </w:t>
      </w:r>
      <w:r w:rsidR="002D0BB0">
        <w:t>M</w:t>
      </w:r>
      <w:r w:rsidRPr="005B0656">
        <w:t>onkey.</w:t>
      </w:r>
      <w:r w:rsidR="0057128F">
        <w:t xml:space="preserve"> </w:t>
      </w:r>
      <w:r w:rsidRPr="005B0656">
        <w:t>While there have been multiple sessions held since the education sessions commenced in September 2012, the maximum number of participants or leaners allowed to attend a simulation education sessions is six.</w:t>
      </w:r>
      <w:r w:rsidR="0057128F">
        <w:t xml:space="preserve"> </w:t>
      </w:r>
      <w:r w:rsidRPr="005B0656">
        <w:t xml:space="preserve">These education sessions have been held in the university simulation </w:t>
      </w:r>
      <w:r w:rsidR="00A54158" w:rsidRPr="005B0656">
        <w:t xml:space="preserve">spaces </w:t>
      </w:r>
      <w:r w:rsidRPr="005B0656">
        <w:t>or centres and at the smaller rural health facilities within the L</w:t>
      </w:r>
      <w:r w:rsidR="003D7892" w:rsidRPr="005B0656">
        <w:t>M re</w:t>
      </w:r>
      <w:r w:rsidRPr="005B0656">
        <w:t>gion.</w:t>
      </w:r>
    </w:p>
    <w:p w:rsidR="0091023D" w:rsidRPr="005B0656" w:rsidRDefault="0091023D" w:rsidP="005B0656">
      <w:pPr>
        <w:pStyle w:val="Healthbody"/>
      </w:pPr>
      <w:r w:rsidRPr="005B0656">
        <w:t>These education sessions are performed to a wide range of health professionals</w:t>
      </w:r>
      <w:r w:rsidR="003D7892" w:rsidRPr="005B0656">
        <w:t>,</w:t>
      </w:r>
      <w:r w:rsidRPr="005B0656">
        <w:t xml:space="preserve"> including </w:t>
      </w:r>
      <w:r w:rsidR="003D7892" w:rsidRPr="005B0656">
        <w:t>m</w:t>
      </w:r>
      <w:r w:rsidRPr="005B0656">
        <w:t xml:space="preserve">edical </w:t>
      </w:r>
      <w:r w:rsidR="009B633C" w:rsidRPr="005B0656">
        <w:t>p</w:t>
      </w:r>
      <w:r w:rsidRPr="005B0656">
        <w:t xml:space="preserve">ractitioners, </w:t>
      </w:r>
      <w:r w:rsidR="009B633C" w:rsidRPr="005B0656">
        <w:t>r</w:t>
      </w:r>
      <w:r w:rsidRPr="005B0656">
        <w:t>egistered</w:t>
      </w:r>
      <w:r w:rsidR="00BA36EB" w:rsidRPr="005B0656">
        <w:t xml:space="preserve"> </w:t>
      </w:r>
      <w:r w:rsidR="009B633C" w:rsidRPr="005B0656">
        <w:t>n</w:t>
      </w:r>
      <w:r w:rsidRPr="005B0656">
        <w:t xml:space="preserve">urses, </w:t>
      </w:r>
      <w:r w:rsidR="009B633C" w:rsidRPr="005B0656">
        <w:t>e</w:t>
      </w:r>
      <w:r w:rsidRPr="005B0656">
        <w:t xml:space="preserve">nrolled </w:t>
      </w:r>
      <w:r w:rsidR="009B633C" w:rsidRPr="005B0656">
        <w:t>n</w:t>
      </w:r>
      <w:r w:rsidRPr="005B0656">
        <w:t xml:space="preserve">urses, </w:t>
      </w:r>
      <w:r w:rsidR="009B633C" w:rsidRPr="005B0656">
        <w:t>a</w:t>
      </w:r>
      <w:r w:rsidRPr="005B0656">
        <w:t xml:space="preserve">llied </w:t>
      </w:r>
      <w:r w:rsidR="009B633C" w:rsidRPr="005B0656">
        <w:t>h</w:t>
      </w:r>
      <w:r w:rsidRPr="005B0656">
        <w:t xml:space="preserve">ealth </w:t>
      </w:r>
      <w:r w:rsidR="009B633C" w:rsidRPr="005B0656">
        <w:t>p</w:t>
      </w:r>
      <w:r w:rsidRPr="005B0656">
        <w:t xml:space="preserve">rofessionals and </w:t>
      </w:r>
      <w:r w:rsidR="009B633C" w:rsidRPr="005B0656">
        <w:t>s</w:t>
      </w:r>
      <w:r w:rsidRPr="005B0656">
        <w:t>tudents.</w:t>
      </w:r>
    </w:p>
    <w:p w:rsidR="0091023D" w:rsidRPr="005B0656" w:rsidRDefault="0091023D" w:rsidP="005B0656">
      <w:pPr>
        <w:pStyle w:val="Healthbody"/>
      </w:pPr>
      <w:r w:rsidRPr="005B0656">
        <w:t xml:space="preserve">From the </w:t>
      </w:r>
      <w:r w:rsidR="002D0BB0">
        <w:t>eleven</w:t>
      </w:r>
      <w:r w:rsidRPr="005B0656">
        <w:t xml:space="preserve"> questions posed, most had a five</w:t>
      </w:r>
      <w:r w:rsidR="002D0BB0">
        <w:t>-</w:t>
      </w:r>
      <w:r w:rsidRPr="005B0656">
        <w:t xml:space="preserve">point </w:t>
      </w:r>
      <w:proofErr w:type="spellStart"/>
      <w:r w:rsidRPr="005B0656">
        <w:t>Likert</w:t>
      </w:r>
      <w:proofErr w:type="spellEnd"/>
      <w:r w:rsidRPr="005B0656">
        <w:t xml:space="preserve"> scale with response options of </w:t>
      </w:r>
      <w:r w:rsidR="00607706" w:rsidRPr="005B0656">
        <w:t>‘</w:t>
      </w:r>
      <w:r w:rsidR="002D0BB0">
        <w:t>s</w:t>
      </w:r>
      <w:r w:rsidRPr="005B0656">
        <w:t xml:space="preserve">trongly </w:t>
      </w:r>
      <w:r w:rsidR="002D0BB0">
        <w:t>a</w:t>
      </w:r>
      <w:r w:rsidRPr="005B0656">
        <w:t>gree</w:t>
      </w:r>
      <w:r w:rsidR="00607706" w:rsidRPr="005B0656">
        <w:t>’</w:t>
      </w:r>
      <w:r w:rsidRPr="005B0656">
        <w:t xml:space="preserve">, </w:t>
      </w:r>
      <w:r w:rsidR="00607706" w:rsidRPr="005B0656">
        <w:t>‘</w:t>
      </w:r>
      <w:r w:rsidR="002D0BB0">
        <w:t>a</w:t>
      </w:r>
      <w:r w:rsidRPr="005B0656">
        <w:t>gree</w:t>
      </w:r>
      <w:r w:rsidR="00607706" w:rsidRPr="005B0656">
        <w:t>’</w:t>
      </w:r>
      <w:r w:rsidRPr="005B0656">
        <w:t xml:space="preserve">, </w:t>
      </w:r>
      <w:r w:rsidR="00607706" w:rsidRPr="005B0656">
        <w:t>‘</w:t>
      </w:r>
      <w:r w:rsidR="002D0BB0">
        <w:t>n</w:t>
      </w:r>
      <w:r w:rsidRPr="005B0656">
        <w:t>eutral</w:t>
      </w:r>
      <w:r w:rsidR="00607706" w:rsidRPr="005B0656">
        <w:t>’</w:t>
      </w:r>
      <w:r w:rsidRPr="005B0656">
        <w:t xml:space="preserve">, </w:t>
      </w:r>
      <w:r w:rsidR="00607706" w:rsidRPr="005B0656">
        <w:t>‘</w:t>
      </w:r>
      <w:r w:rsidR="002D0BB0">
        <w:t>d</w:t>
      </w:r>
      <w:r w:rsidRPr="005B0656">
        <w:t>isagree</w:t>
      </w:r>
      <w:r w:rsidR="00607706" w:rsidRPr="005B0656">
        <w:t>’</w:t>
      </w:r>
      <w:r w:rsidRPr="005B0656">
        <w:t xml:space="preserve"> and </w:t>
      </w:r>
      <w:r w:rsidR="00607706" w:rsidRPr="005B0656">
        <w:t>‘</w:t>
      </w:r>
      <w:r w:rsidR="002D0BB0">
        <w:t>s</w:t>
      </w:r>
      <w:r w:rsidRPr="005B0656">
        <w:t xml:space="preserve">trongly </w:t>
      </w:r>
      <w:r w:rsidR="002D0BB0">
        <w:t>d</w:t>
      </w:r>
      <w:r w:rsidRPr="005B0656">
        <w:t>isagree</w:t>
      </w:r>
      <w:r w:rsidR="00607706" w:rsidRPr="005B0656">
        <w:t>’</w:t>
      </w:r>
      <w:r w:rsidRPr="005B0656">
        <w:t>.</w:t>
      </w:r>
      <w:r w:rsidR="0057128F">
        <w:t xml:space="preserve"> </w:t>
      </w:r>
      <w:r w:rsidRPr="005B0656">
        <w:t>Participants were also given the opportunity to provide additional comments in three sections of the survey.</w:t>
      </w:r>
    </w:p>
    <w:p w:rsidR="0086263E" w:rsidRPr="005B0656" w:rsidRDefault="0086263E" w:rsidP="005B0656">
      <w:pPr>
        <w:pStyle w:val="Healthheading3"/>
      </w:pPr>
      <w:r w:rsidRPr="005B0656">
        <w:t xml:space="preserve">Key </w:t>
      </w:r>
      <w:r w:rsidR="00BD7C1E" w:rsidRPr="005B0656">
        <w:t>observations and feedback</w:t>
      </w:r>
    </w:p>
    <w:p w:rsidR="0021255C" w:rsidRPr="005B0656" w:rsidRDefault="0021255C" w:rsidP="005B0656">
      <w:pPr>
        <w:pStyle w:val="Healthbullet1"/>
      </w:pPr>
      <w:r w:rsidRPr="005B0656">
        <w:t>Educators reviewed student and other learner feedback on an ongoing basis and with a focus on continuous improvement.</w:t>
      </w:r>
    </w:p>
    <w:p w:rsidR="00BD7C1E" w:rsidRPr="005B0656" w:rsidRDefault="00BD7C1E" w:rsidP="005B0656">
      <w:pPr>
        <w:pStyle w:val="Healthbullet1"/>
      </w:pPr>
      <w:r w:rsidRPr="005B0656">
        <w:t>It was</w:t>
      </w:r>
      <w:r w:rsidR="0086263E" w:rsidRPr="005B0656">
        <w:t xml:space="preserve"> valuable to engage senior </w:t>
      </w:r>
      <w:r w:rsidR="009B633C" w:rsidRPr="005B0656">
        <w:t>management</w:t>
      </w:r>
      <w:r w:rsidR="00BA36EB" w:rsidRPr="005B0656">
        <w:t xml:space="preserve"> within</w:t>
      </w:r>
      <w:r w:rsidR="009B633C" w:rsidRPr="005B0656">
        <w:t xml:space="preserve"> health professions</w:t>
      </w:r>
      <w:r w:rsidR="0086263E" w:rsidRPr="005B0656">
        <w:t xml:space="preserve"> to participate in the sessions. This enabled these managers to motivate and encourage staff to participate in sessions</w:t>
      </w:r>
      <w:r w:rsidRPr="005B0656">
        <w:t xml:space="preserve"> as well </w:t>
      </w:r>
      <w:r w:rsidR="009B633C" w:rsidRPr="005B0656">
        <w:t xml:space="preserve">as </w:t>
      </w:r>
      <w:r w:rsidRPr="005B0656">
        <w:t>address staff concerns regarding this type of traini</w:t>
      </w:r>
      <w:r w:rsidR="009B633C" w:rsidRPr="005B0656">
        <w:t xml:space="preserve">ng which is seen as </w:t>
      </w:r>
      <w:r w:rsidR="00BA36EB" w:rsidRPr="005B0656">
        <w:t xml:space="preserve">threatening or </w:t>
      </w:r>
      <w:r w:rsidR="009B633C" w:rsidRPr="005B0656">
        <w:t>challenging</w:t>
      </w:r>
      <w:r w:rsidR="00BA36EB" w:rsidRPr="005B0656">
        <w:t>.</w:t>
      </w:r>
    </w:p>
    <w:p w:rsidR="00BD7C1E" w:rsidRPr="005B0656" w:rsidRDefault="0086263E" w:rsidP="005B0656">
      <w:pPr>
        <w:pStyle w:val="Healthbullet1"/>
      </w:pPr>
      <w:r w:rsidRPr="005B0656">
        <w:t>Attendance on the day can vary from the intended bookings due to clinical commitments</w:t>
      </w:r>
      <w:r w:rsidR="009B633C" w:rsidRPr="005B0656">
        <w:t>.</w:t>
      </w:r>
      <w:r w:rsidR="0057128F">
        <w:t xml:space="preserve"> </w:t>
      </w:r>
      <w:r w:rsidR="009B633C" w:rsidRPr="005B0656">
        <w:t xml:space="preserve">Flexible </w:t>
      </w:r>
      <w:r w:rsidR="00BD7C1E" w:rsidRPr="005B0656">
        <w:t>booking options w</w:t>
      </w:r>
      <w:r w:rsidR="009B633C" w:rsidRPr="005B0656">
        <w:t>ere</w:t>
      </w:r>
      <w:r w:rsidR="00BD7C1E" w:rsidRPr="005B0656">
        <w:t xml:space="preserve"> invaluable to health services to accommodate as many practical </w:t>
      </w:r>
      <w:r w:rsidR="00BA36EB" w:rsidRPr="005B0656">
        <w:t xml:space="preserve">staffing </w:t>
      </w:r>
      <w:r w:rsidR="00BD7C1E" w:rsidRPr="005B0656">
        <w:t>needs as possible</w:t>
      </w:r>
      <w:r w:rsidR="00BA36EB" w:rsidRPr="005B0656">
        <w:t>.</w:t>
      </w:r>
    </w:p>
    <w:p w:rsidR="0086263E" w:rsidRPr="005B0656" w:rsidRDefault="0086263E" w:rsidP="005B0656">
      <w:pPr>
        <w:pStyle w:val="Healthbullet1"/>
      </w:pPr>
      <w:r w:rsidRPr="005B0656">
        <w:t>Travel</w:t>
      </w:r>
      <w:r w:rsidR="009B633C" w:rsidRPr="005B0656">
        <w:t>l</w:t>
      </w:r>
      <w:r w:rsidRPr="005B0656">
        <w:t>ing time is extensive and is not factored in</w:t>
      </w:r>
      <w:r w:rsidR="00BA36EB" w:rsidRPr="005B0656">
        <w:t>to</w:t>
      </w:r>
      <w:r w:rsidRPr="005B0656">
        <w:t xml:space="preserve"> the SLE report</w:t>
      </w:r>
      <w:r w:rsidR="009B633C" w:rsidRPr="005B0656">
        <w:t>ing hours of clinical education</w:t>
      </w:r>
      <w:r w:rsidR="00BA36EB" w:rsidRPr="005B0656">
        <w:t>.</w:t>
      </w:r>
    </w:p>
    <w:p w:rsidR="0086263E" w:rsidRPr="005B0656" w:rsidRDefault="0086263E" w:rsidP="005B0656">
      <w:pPr>
        <w:pStyle w:val="Healthbullet1"/>
      </w:pPr>
      <w:r w:rsidRPr="005B0656">
        <w:t xml:space="preserve">Lack of </w:t>
      </w:r>
      <w:r w:rsidR="00BD7C1E" w:rsidRPr="005B0656">
        <w:t>involvement</w:t>
      </w:r>
      <w:r w:rsidRPr="005B0656">
        <w:t xml:space="preserve"> </w:t>
      </w:r>
      <w:r w:rsidR="00BD7C1E" w:rsidRPr="005B0656">
        <w:t xml:space="preserve">thus far </w:t>
      </w:r>
      <w:r w:rsidRPr="005B0656">
        <w:t xml:space="preserve">from the medical profession to participate in the DETECT </w:t>
      </w:r>
      <w:r w:rsidR="00A44E0D" w:rsidRPr="005B0656">
        <w:t>e-learning online program (</w:t>
      </w:r>
      <w:r w:rsidR="00A44E0D" w:rsidRPr="005B0656">
        <w:rPr>
          <w:rStyle w:val="Emphasis"/>
          <w:b w:val="0"/>
          <w:bCs w:val="0"/>
        </w:rPr>
        <w:t>Detecting</w:t>
      </w:r>
      <w:r w:rsidR="00A44E0D" w:rsidRPr="005B0656">
        <w:rPr>
          <w:rStyle w:val="st"/>
        </w:rPr>
        <w:t xml:space="preserve"> Deterioration, Evaluation, Treatment, Escalation and Communicating in Teams</w:t>
      </w:r>
      <w:r w:rsidR="00967171" w:rsidRPr="005B0656">
        <w:rPr>
          <w:rStyle w:val="st"/>
        </w:rPr>
        <w:t>)</w:t>
      </w:r>
      <w:r w:rsidR="00A44E0D" w:rsidRPr="005B0656">
        <w:rPr>
          <w:rStyle w:val="st"/>
        </w:rPr>
        <w:t xml:space="preserve"> </w:t>
      </w:r>
      <w:r w:rsidRPr="005B0656">
        <w:t>has been evident</w:t>
      </w:r>
      <w:r w:rsidR="00BD7C1E" w:rsidRPr="005B0656">
        <w:t>.</w:t>
      </w:r>
      <w:r w:rsidR="0057128F">
        <w:t xml:space="preserve"> </w:t>
      </w:r>
      <w:r w:rsidR="00BD7C1E" w:rsidRPr="005B0656">
        <w:t>Promotion of the sessions was found to be a major factor as the primary pathway used by the health se</w:t>
      </w:r>
      <w:r w:rsidR="009B633C" w:rsidRPr="005B0656">
        <w:t>rvices was nursing focused</w:t>
      </w:r>
      <w:r w:rsidR="00BA36EB" w:rsidRPr="005B0656">
        <w:t>.</w:t>
      </w:r>
    </w:p>
    <w:p w:rsidR="0086263E" w:rsidRPr="005B0656" w:rsidRDefault="0086263E" w:rsidP="005B0656">
      <w:pPr>
        <w:pStyle w:val="Healthbullet1"/>
      </w:pPr>
      <w:r w:rsidRPr="005B0656">
        <w:t>Few participants prepare</w:t>
      </w:r>
      <w:r w:rsidR="008B1E09" w:rsidRPr="005B0656">
        <w:t>d</w:t>
      </w:r>
      <w:r w:rsidRPr="005B0656">
        <w:t xml:space="preserve"> </w:t>
      </w:r>
      <w:r w:rsidR="00BD7C1E" w:rsidRPr="005B0656">
        <w:t xml:space="preserve">adequately </w:t>
      </w:r>
      <w:r w:rsidRPr="005B0656">
        <w:t>prior to the simulation</w:t>
      </w:r>
      <w:r w:rsidR="009B633C" w:rsidRPr="005B0656">
        <w:t xml:space="preserve"> </w:t>
      </w:r>
      <w:r w:rsidR="008B1E09" w:rsidRPr="005B0656">
        <w:t xml:space="preserve">session </w:t>
      </w:r>
      <w:r w:rsidR="00BA36EB" w:rsidRPr="005B0656">
        <w:t xml:space="preserve">despite offering online </w:t>
      </w:r>
      <w:r w:rsidR="009B633C" w:rsidRPr="005B0656">
        <w:t>pre-</w:t>
      </w:r>
      <w:r w:rsidRPr="005B0656">
        <w:t xml:space="preserve">learning. However, the evaluation and </w:t>
      </w:r>
      <w:r w:rsidR="00607706" w:rsidRPr="005B0656">
        <w:t>m</w:t>
      </w:r>
      <w:r w:rsidR="008B1E09" w:rsidRPr="005B0656">
        <w:t xml:space="preserve">ultiple </w:t>
      </w:r>
      <w:r w:rsidR="00607706" w:rsidRPr="005B0656">
        <w:t>c</w:t>
      </w:r>
      <w:r w:rsidR="008B1E09" w:rsidRPr="005B0656">
        <w:t xml:space="preserve">hoice </w:t>
      </w:r>
      <w:r w:rsidR="00607706" w:rsidRPr="005B0656">
        <w:t>q</w:t>
      </w:r>
      <w:r w:rsidR="008B1E09" w:rsidRPr="005B0656">
        <w:t>uestionnaires</w:t>
      </w:r>
      <w:r w:rsidRPr="005B0656">
        <w:t xml:space="preserve"> do not appear to have been influenced by participants not preparing f</w:t>
      </w:r>
      <w:r w:rsidR="009B633C" w:rsidRPr="005B0656">
        <w:t>or the session</w:t>
      </w:r>
      <w:r w:rsidR="00BA36EB" w:rsidRPr="005B0656">
        <w:t>.</w:t>
      </w:r>
    </w:p>
    <w:p w:rsidR="00BD7C1E" w:rsidRPr="005B0656" w:rsidRDefault="002D0BB0" w:rsidP="005B0656">
      <w:pPr>
        <w:pStyle w:val="Healthbullet1"/>
      </w:pPr>
      <w:r>
        <w:t>Post session de</w:t>
      </w:r>
      <w:r w:rsidR="00BD7C1E" w:rsidRPr="005B0656">
        <w:t xml:space="preserve">briefing was found to be </w:t>
      </w:r>
      <w:r w:rsidR="009B633C" w:rsidRPr="005B0656">
        <w:t>valuable</w:t>
      </w:r>
      <w:r w:rsidR="00BA36EB" w:rsidRPr="005B0656">
        <w:t>.</w:t>
      </w:r>
    </w:p>
    <w:p w:rsidR="002D0BB0" w:rsidRDefault="00BD7C1E" w:rsidP="002D0BB0">
      <w:pPr>
        <w:pStyle w:val="Healthbullet1lastline"/>
      </w:pPr>
      <w:r w:rsidRPr="005B0656">
        <w:t xml:space="preserve">Health </w:t>
      </w:r>
      <w:r w:rsidR="002D0BB0">
        <w:t>s</w:t>
      </w:r>
      <w:r w:rsidRPr="005B0656">
        <w:t>ervices found the university educators to be highly knowledgeab</w:t>
      </w:r>
      <w:r w:rsidR="009B633C" w:rsidRPr="005B0656">
        <w:t xml:space="preserve">le and professional and believe </w:t>
      </w:r>
      <w:r w:rsidRPr="005B0656">
        <w:t>they would fill more training session</w:t>
      </w:r>
      <w:r w:rsidR="00A358F3" w:rsidRPr="005B0656">
        <w:t xml:space="preserve">s based on </w:t>
      </w:r>
      <w:r w:rsidR="0073563E" w:rsidRPr="005B0656">
        <w:t xml:space="preserve">the </w:t>
      </w:r>
      <w:r w:rsidR="00A358F3" w:rsidRPr="005B0656">
        <w:t>positive staff feedback</w:t>
      </w:r>
      <w:r w:rsidR="0073563E" w:rsidRPr="005B0656">
        <w:t xml:space="preserve"> and</w:t>
      </w:r>
      <w:r w:rsidR="00A358F3" w:rsidRPr="005B0656">
        <w:t xml:space="preserve"> word of mouth</w:t>
      </w:r>
      <w:r w:rsidR="0073563E" w:rsidRPr="005B0656">
        <w:t>.</w:t>
      </w:r>
      <w:r w:rsidRPr="005B0656">
        <w:t xml:space="preserve"> </w:t>
      </w:r>
      <w:r w:rsidR="0073563E" w:rsidRPr="005B0656">
        <w:t>They</w:t>
      </w:r>
      <w:r w:rsidRPr="005B0656">
        <w:t xml:space="preserve"> </w:t>
      </w:r>
      <w:r w:rsidR="00BA36EB" w:rsidRPr="005B0656">
        <w:t xml:space="preserve">reported they </w:t>
      </w:r>
      <w:r w:rsidR="00A358F3" w:rsidRPr="005B0656">
        <w:t>would pay a reasonable fee for future</w:t>
      </w:r>
      <w:r w:rsidRPr="005B0656">
        <w:t xml:space="preserve"> training sessions </w:t>
      </w:r>
      <w:r w:rsidR="005B0656">
        <w:t>held on</w:t>
      </w:r>
      <w:r w:rsidR="00A358F3" w:rsidRPr="005B0656">
        <w:t>site</w:t>
      </w:r>
      <w:r w:rsidRPr="005B0656">
        <w:t>.</w:t>
      </w:r>
    </w:p>
    <w:p w:rsidR="008F5D4C" w:rsidRPr="005B0656" w:rsidRDefault="005B0656" w:rsidP="002D0BB0">
      <w:pPr>
        <w:pStyle w:val="Healthheading2"/>
      </w:pPr>
      <w:r w:rsidRPr="005B0656">
        <w:t>Future directions</w:t>
      </w:r>
    </w:p>
    <w:p w:rsidR="00947510" w:rsidRPr="005B0656" w:rsidRDefault="00A54158" w:rsidP="005B0656">
      <w:pPr>
        <w:pStyle w:val="Healthbody"/>
      </w:pPr>
      <w:r w:rsidRPr="005B0656">
        <w:t xml:space="preserve">Project </w:t>
      </w:r>
      <w:r w:rsidR="00607706" w:rsidRPr="005B0656">
        <w:t>p</w:t>
      </w:r>
      <w:r w:rsidRPr="005B0656">
        <w:t>artner</w:t>
      </w:r>
      <w:r w:rsidR="008B1E09" w:rsidRPr="005B0656">
        <w:t>s</w:t>
      </w:r>
      <w:r w:rsidRPr="005B0656">
        <w:t xml:space="preserve"> </w:t>
      </w:r>
      <w:r w:rsidR="008B1E09" w:rsidRPr="005B0656">
        <w:t xml:space="preserve">plan to </w:t>
      </w:r>
      <w:r w:rsidR="002B3649" w:rsidRPr="005B0656">
        <w:t>continue</w:t>
      </w:r>
      <w:r w:rsidR="0086263E" w:rsidRPr="005B0656">
        <w:t xml:space="preserve"> </w:t>
      </w:r>
      <w:r w:rsidR="008B1E09" w:rsidRPr="005B0656">
        <w:t xml:space="preserve">the collaboration </w:t>
      </w:r>
      <w:r w:rsidR="0086263E" w:rsidRPr="005B0656">
        <w:t xml:space="preserve">between </w:t>
      </w:r>
      <w:r w:rsidR="00165C04" w:rsidRPr="005B0656">
        <w:t xml:space="preserve">the </w:t>
      </w:r>
      <w:r w:rsidR="0086263E" w:rsidRPr="005B0656">
        <w:t>three education p</w:t>
      </w:r>
      <w:r w:rsidR="00165C04" w:rsidRPr="005B0656">
        <w:t>roviders (Monash University, La T</w:t>
      </w:r>
      <w:r w:rsidR="0086263E" w:rsidRPr="005B0656">
        <w:t>robe University, Bendigo Institute of TAFE) and one health service provider (Bendigo Health</w:t>
      </w:r>
      <w:r w:rsidRPr="005B0656">
        <w:t xml:space="preserve"> Care Group</w:t>
      </w:r>
      <w:r w:rsidR="0086263E" w:rsidRPr="005B0656">
        <w:t xml:space="preserve">). The project </w:t>
      </w:r>
      <w:r w:rsidR="002B3649" w:rsidRPr="005B0656">
        <w:t xml:space="preserve">team aims to </w:t>
      </w:r>
      <w:r w:rsidR="0086263E" w:rsidRPr="005B0656">
        <w:t xml:space="preserve">provide clinical education using simulation methods </w:t>
      </w:r>
      <w:r w:rsidR="002B3649" w:rsidRPr="005B0656">
        <w:t>for</w:t>
      </w:r>
      <w:r w:rsidR="0086263E" w:rsidRPr="005B0656">
        <w:t xml:space="preserve"> professional entry students</w:t>
      </w:r>
      <w:r w:rsidR="00165C04" w:rsidRPr="005B0656">
        <w:t xml:space="preserve"> from Monash University (Medicine), La Trobe University (</w:t>
      </w:r>
      <w:r w:rsidR="002D0BB0">
        <w:t>n</w:t>
      </w:r>
      <w:r w:rsidR="0086263E" w:rsidRPr="005B0656">
        <w:t xml:space="preserve">ursing, </w:t>
      </w:r>
      <w:r w:rsidR="002D0BB0">
        <w:t>p</w:t>
      </w:r>
      <w:r w:rsidRPr="005B0656">
        <w:t xml:space="preserve">hysiotherapy, </w:t>
      </w:r>
      <w:r w:rsidR="002D0BB0">
        <w:t>o</w:t>
      </w:r>
      <w:r w:rsidRPr="005B0656">
        <w:t xml:space="preserve">ccupational </w:t>
      </w:r>
      <w:r w:rsidR="002D0BB0">
        <w:t>t</w:t>
      </w:r>
      <w:r w:rsidRPr="005B0656">
        <w:t xml:space="preserve">herapy and </w:t>
      </w:r>
      <w:r w:rsidR="002D0BB0">
        <w:t>p</w:t>
      </w:r>
      <w:r w:rsidRPr="005B0656">
        <w:t>aramed</w:t>
      </w:r>
      <w:r w:rsidR="00607706" w:rsidRPr="005B0656">
        <w:t>i</w:t>
      </w:r>
      <w:r w:rsidRPr="005B0656">
        <w:t>cine</w:t>
      </w:r>
      <w:r w:rsidR="00165C04" w:rsidRPr="005B0656">
        <w:t>) and TAFE (</w:t>
      </w:r>
      <w:r w:rsidR="002D0BB0">
        <w:t>d</w:t>
      </w:r>
      <w:r w:rsidR="00165C04" w:rsidRPr="005B0656">
        <w:t xml:space="preserve">ivision 2 </w:t>
      </w:r>
      <w:r w:rsidR="002D0BB0">
        <w:t>n</w:t>
      </w:r>
      <w:r w:rsidR="0086263E" w:rsidRPr="005B0656">
        <w:t>ursing) at it</w:t>
      </w:r>
      <w:r w:rsidR="00165C04" w:rsidRPr="005B0656">
        <w:t>s Bendigo and Mildura regional</w:t>
      </w:r>
      <w:r w:rsidR="0086263E" w:rsidRPr="005B0656">
        <w:t xml:space="preserve"> hubs and at </w:t>
      </w:r>
      <w:r w:rsidR="002B3649" w:rsidRPr="005B0656">
        <w:t>four</w:t>
      </w:r>
      <w:r w:rsidR="0086263E" w:rsidRPr="005B0656">
        <w:t xml:space="preserve"> </w:t>
      </w:r>
      <w:r w:rsidR="00165C04" w:rsidRPr="005B0656">
        <w:t xml:space="preserve">smaller </w:t>
      </w:r>
      <w:r w:rsidR="00947510" w:rsidRPr="005B0656">
        <w:t>rural</w:t>
      </w:r>
      <w:r w:rsidR="00C63226" w:rsidRPr="005B0656">
        <w:t xml:space="preserve"> </w:t>
      </w:r>
      <w:r w:rsidR="00947510" w:rsidRPr="005B0656">
        <w:t>health service hubs in the region.</w:t>
      </w:r>
    </w:p>
    <w:p w:rsidR="00463B17" w:rsidRPr="005B0656" w:rsidRDefault="00463B17" w:rsidP="005B0656">
      <w:pPr>
        <w:pStyle w:val="Healthbody"/>
      </w:pPr>
      <w:r w:rsidRPr="005B0656">
        <w:t>The L</w:t>
      </w:r>
      <w:r w:rsidR="00607706" w:rsidRPr="005B0656">
        <w:t>M</w:t>
      </w:r>
      <w:r w:rsidRPr="005B0656">
        <w:t xml:space="preserve"> project has received additional funding from HWA through un</w:t>
      </w:r>
      <w:r w:rsidR="00607706" w:rsidRPr="005B0656">
        <w:t>til</w:t>
      </w:r>
      <w:r w:rsidRPr="005B0656">
        <w:t xml:space="preserve"> the end of 2014. This new funding specifically relates to sustaining 3.0 FTE educator positions and 1.5 FTE simulation technician </w:t>
      </w:r>
      <w:r w:rsidR="002D0BB0" w:rsidRPr="005B0656">
        <w:t>positions</w:t>
      </w:r>
      <w:r w:rsidRPr="005B0656">
        <w:t xml:space="preserve"> with </w:t>
      </w:r>
      <w:r w:rsidR="00607706" w:rsidRPr="005B0656">
        <w:t>‘in-</w:t>
      </w:r>
      <w:r w:rsidRPr="005B0656">
        <w:t>kind</w:t>
      </w:r>
      <w:r w:rsidR="00607706" w:rsidRPr="005B0656">
        <w:t>’</w:t>
      </w:r>
      <w:r w:rsidRPr="005B0656">
        <w:t xml:space="preserve"> contributions</w:t>
      </w:r>
      <w:r w:rsidR="00B076DB" w:rsidRPr="005B0656">
        <w:t xml:space="preserve"> from the two universities</w:t>
      </w:r>
      <w:r w:rsidRPr="005B0656">
        <w:t xml:space="preserve">. The simulation education focus is for delivery across the two regional hubs </w:t>
      </w:r>
      <w:r w:rsidR="00B076DB" w:rsidRPr="005B0656">
        <w:t>plus a sma</w:t>
      </w:r>
      <w:r w:rsidR="00F334AC" w:rsidRPr="005B0656">
        <w:t xml:space="preserve">ll number of sessions based at the </w:t>
      </w:r>
      <w:r w:rsidRPr="005B0656">
        <w:t xml:space="preserve">four </w:t>
      </w:r>
      <w:r w:rsidR="00B076DB" w:rsidRPr="005B0656">
        <w:t xml:space="preserve">university </w:t>
      </w:r>
      <w:r w:rsidRPr="005B0656">
        <w:t>rural hubs within</w:t>
      </w:r>
      <w:r w:rsidR="00B076DB" w:rsidRPr="005B0656">
        <w:t xml:space="preserve"> the</w:t>
      </w:r>
      <w:r w:rsidRPr="005B0656">
        <w:t xml:space="preserve"> L</w:t>
      </w:r>
      <w:r w:rsidR="00F334AC" w:rsidRPr="005B0656">
        <w:t>M</w:t>
      </w:r>
      <w:r w:rsidRPr="005B0656">
        <w:t xml:space="preserve"> </w:t>
      </w:r>
      <w:r w:rsidR="00B076DB" w:rsidRPr="005B0656">
        <w:t>region. The</w:t>
      </w:r>
      <w:r w:rsidRPr="005B0656">
        <w:t xml:space="preserve"> student delivery targets </w:t>
      </w:r>
      <w:r w:rsidR="00B076DB" w:rsidRPr="005B0656">
        <w:t xml:space="preserve">are </w:t>
      </w:r>
      <w:r w:rsidRPr="005B0656">
        <w:t>set at 80% of the total target numbers and other learner delivery targets set at 20%. Interprofessional simulation sessions are a focus</w:t>
      </w:r>
      <w:r w:rsidR="00F334AC" w:rsidRPr="005B0656">
        <w:t xml:space="preserve"> of the sustainable simulated learning en</w:t>
      </w:r>
      <w:r w:rsidR="00B076DB" w:rsidRPr="005B0656">
        <w:t>vironments project</w:t>
      </w:r>
      <w:r w:rsidR="00F334AC" w:rsidRPr="005B0656">
        <w:t>,</w:t>
      </w:r>
      <w:r w:rsidR="00B076DB" w:rsidRPr="005B0656">
        <w:t xml:space="preserve"> </w:t>
      </w:r>
      <w:r w:rsidRPr="005B0656">
        <w:t xml:space="preserve">as is </w:t>
      </w:r>
      <w:r w:rsidR="00B076DB" w:rsidRPr="005B0656">
        <w:t xml:space="preserve">curriculum design activity to include </w:t>
      </w:r>
      <w:r w:rsidRPr="005B0656">
        <w:t>simulation learning within curriculum</w:t>
      </w:r>
      <w:r w:rsidR="00F334AC" w:rsidRPr="005B0656">
        <w:t xml:space="preserve"> and</w:t>
      </w:r>
      <w:r w:rsidR="00B076DB" w:rsidRPr="005B0656">
        <w:t xml:space="preserve"> accreditation approval </w:t>
      </w:r>
      <w:r w:rsidRPr="005B0656">
        <w:t xml:space="preserve">across </w:t>
      </w:r>
      <w:r w:rsidR="00B076DB" w:rsidRPr="005B0656">
        <w:t xml:space="preserve">nursing and allied health </w:t>
      </w:r>
      <w:r w:rsidRPr="005B0656">
        <w:t>disciplines.</w:t>
      </w:r>
    </w:p>
    <w:p w:rsidR="002B3649" w:rsidRPr="005B0656" w:rsidRDefault="0086263E" w:rsidP="005B0656">
      <w:pPr>
        <w:pStyle w:val="Healthbody"/>
      </w:pPr>
      <w:r w:rsidRPr="005B0656">
        <w:t xml:space="preserve">Monash </w:t>
      </w:r>
      <w:r w:rsidR="00165C04" w:rsidRPr="005B0656">
        <w:t xml:space="preserve">Bendigo </w:t>
      </w:r>
      <w:r w:rsidRPr="005B0656">
        <w:t>and La</w:t>
      </w:r>
      <w:r w:rsidR="00165C04" w:rsidRPr="005B0656">
        <w:t xml:space="preserve"> T</w:t>
      </w:r>
      <w:r w:rsidRPr="005B0656">
        <w:t>robe</w:t>
      </w:r>
      <w:r w:rsidR="00947510" w:rsidRPr="005B0656">
        <w:t xml:space="preserve"> now</w:t>
      </w:r>
      <w:r w:rsidRPr="005B0656">
        <w:t xml:space="preserve"> have well developed simulation </w:t>
      </w:r>
      <w:r w:rsidR="002B3649" w:rsidRPr="005B0656">
        <w:t xml:space="preserve">environment </w:t>
      </w:r>
      <w:r w:rsidRPr="005B0656">
        <w:t xml:space="preserve">resources </w:t>
      </w:r>
      <w:r w:rsidR="002B3649" w:rsidRPr="005B0656">
        <w:t>at</w:t>
      </w:r>
      <w:r w:rsidRPr="005B0656">
        <w:t xml:space="preserve"> a shared educational precinct of the Bendigo Health campus </w:t>
      </w:r>
      <w:r w:rsidR="00947510" w:rsidRPr="005B0656">
        <w:t xml:space="preserve">and in </w:t>
      </w:r>
      <w:r w:rsidR="002B3649" w:rsidRPr="005B0656">
        <w:t>Monash</w:t>
      </w:r>
      <w:r w:rsidR="00165C04" w:rsidRPr="005B0656">
        <w:t xml:space="preserve"> Mildura</w:t>
      </w:r>
      <w:r w:rsidR="0057128F">
        <w:t xml:space="preserve"> </w:t>
      </w:r>
      <w:r w:rsidR="00165C04" w:rsidRPr="005B0656">
        <w:t>the simulation centre is adjacent to the</w:t>
      </w:r>
      <w:r w:rsidR="002B3649" w:rsidRPr="005B0656">
        <w:t xml:space="preserve"> Mildura Base Hospital.</w:t>
      </w:r>
    </w:p>
    <w:p w:rsidR="00947510" w:rsidRPr="005B0656" w:rsidRDefault="00947510" w:rsidP="005B0656">
      <w:pPr>
        <w:pStyle w:val="Healthbody"/>
      </w:pPr>
      <w:r w:rsidRPr="005B0656">
        <w:t>In the Mildura regional hub, simulation resources of equivalent quality to Bendigo are available on the Monash and La</w:t>
      </w:r>
      <w:r w:rsidR="00C63226" w:rsidRPr="005B0656">
        <w:t xml:space="preserve"> T</w:t>
      </w:r>
      <w:r w:rsidRPr="005B0656">
        <w:t xml:space="preserve">robe campuses that service the needs </w:t>
      </w:r>
      <w:r w:rsidR="00165C04" w:rsidRPr="005B0656">
        <w:t>of</w:t>
      </w:r>
      <w:r w:rsidRPr="005B0656">
        <w:t xml:space="preserve"> clinical education </w:t>
      </w:r>
      <w:r w:rsidR="00165C04" w:rsidRPr="005B0656">
        <w:t>for</w:t>
      </w:r>
      <w:r w:rsidRPr="005B0656">
        <w:t xml:space="preserve"> their own professional entry students and those of </w:t>
      </w:r>
      <w:r w:rsidR="002D0BB0">
        <w:t>d</w:t>
      </w:r>
      <w:r w:rsidRPr="005B0656">
        <w:t xml:space="preserve">ivision 2 nurses from </w:t>
      </w:r>
      <w:proofErr w:type="spellStart"/>
      <w:r w:rsidRPr="005B0656">
        <w:t>Sunraysia</w:t>
      </w:r>
      <w:proofErr w:type="spellEnd"/>
      <w:r w:rsidRPr="005B0656">
        <w:t xml:space="preserve"> TAFE. It also serves the </w:t>
      </w:r>
      <w:r w:rsidR="00A54158" w:rsidRPr="005B0656">
        <w:t>SLE</w:t>
      </w:r>
      <w:r w:rsidRPr="005B0656">
        <w:t xml:space="preserve"> needs of other </w:t>
      </w:r>
      <w:r w:rsidR="00A54158" w:rsidRPr="005B0656">
        <w:t xml:space="preserve">learner </w:t>
      </w:r>
      <w:r w:rsidRPr="005B0656">
        <w:t>recipients</w:t>
      </w:r>
      <w:r w:rsidR="00165C04" w:rsidRPr="005B0656">
        <w:t xml:space="preserve"> from Mildura Base and Mildura Private </w:t>
      </w:r>
      <w:r w:rsidR="00F334AC" w:rsidRPr="005B0656">
        <w:t>H</w:t>
      </w:r>
      <w:r w:rsidRPr="005B0656">
        <w:t xml:space="preserve">ospitals. We work on a principle of harmonisation across this large region. Monash Mildura need to implement education delivery in their local context </w:t>
      </w:r>
      <w:r w:rsidR="00C63226" w:rsidRPr="005B0656">
        <w:t xml:space="preserve">as </w:t>
      </w:r>
      <w:r w:rsidRPr="005B0656">
        <w:t xml:space="preserve">it </w:t>
      </w:r>
      <w:r w:rsidR="00C63226" w:rsidRPr="005B0656">
        <w:t>is</w:t>
      </w:r>
      <w:r w:rsidRPr="005B0656">
        <w:t xml:space="preserve"> different to Bendigo. However </w:t>
      </w:r>
      <w:r w:rsidR="00C63226" w:rsidRPr="005B0656">
        <w:t>the</w:t>
      </w:r>
      <w:r w:rsidRPr="005B0656">
        <w:t xml:space="preserve"> </w:t>
      </w:r>
      <w:proofErr w:type="gramStart"/>
      <w:r w:rsidRPr="005B0656">
        <w:t>appl</w:t>
      </w:r>
      <w:r w:rsidR="00C63226" w:rsidRPr="005B0656">
        <w:t>ication of</w:t>
      </w:r>
      <w:r w:rsidRPr="005B0656">
        <w:t xml:space="preserve"> fee-for-service models, bookings, curric</w:t>
      </w:r>
      <w:r w:rsidR="00A54158" w:rsidRPr="005B0656">
        <w:t>u</w:t>
      </w:r>
      <w:r w:rsidRPr="005B0656">
        <w:t>lum design</w:t>
      </w:r>
      <w:r w:rsidR="0057128F">
        <w:t xml:space="preserve"> </w:t>
      </w:r>
      <w:r w:rsidR="00C63226" w:rsidRPr="005B0656">
        <w:t>remain</w:t>
      </w:r>
      <w:proofErr w:type="gramEnd"/>
      <w:r w:rsidR="00C63226" w:rsidRPr="005B0656">
        <w:t xml:space="preserve"> consistent</w:t>
      </w:r>
      <w:r w:rsidRPr="005B0656">
        <w:t>.</w:t>
      </w:r>
    </w:p>
    <w:p w:rsidR="00A54158" w:rsidRPr="005B0656" w:rsidRDefault="00A54158" w:rsidP="005B0656">
      <w:pPr>
        <w:pStyle w:val="Healthbody"/>
      </w:pPr>
      <w:r w:rsidRPr="005B0656">
        <w:t>The project partners have</w:t>
      </w:r>
      <w:r w:rsidR="00C63226" w:rsidRPr="005B0656">
        <w:t xml:space="preserve"> identified</w:t>
      </w:r>
      <w:r w:rsidR="007810D7" w:rsidRPr="005B0656">
        <w:t xml:space="preserve"> a need for more research to validate simulation as a teaching</w:t>
      </w:r>
      <w:r w:rsidR="002D0BB0">
        <w:t>/</w:t>
      </w:r>
      <w:r w:rsidR="007810D7" w:rsidRPr="005B0656">
        <w:t xml:space="preserve">learning strategy or </w:t>
      </w:r>
      <w:r w:rsidR="007B6FEB" w:rsidRPr="005B0656">
        <w:t xml:space="preserve">as an </w:t>
      </w:r>
      <w:r w:rsidR="007810D7" w:rsidRPr="005B0656">
        <w:t>assessment/evaluation method</w:t>
      </w:r>
      <w:r w:rsidR="007B6FEB" w:rsidRPr="005B0656">
        <w:t>.</w:t>
      </w:r>
    </w:p>
    <w:p w:rsidR="00F25E8F" w:rsidRPr="005B0656" w:rsidRDefault="00A54158" w:rsidP="005B0656">
      <w:pPr>
        <w:pStyle w:val="Healthbody"/>
      </w:pPr>
      <w:r w:rsidRPr="005B0656">
        <w:t xml:space="preserve">Accreditation of courses with SLE sessions included </w:t>
      </w:r>
      <w:r w:rsidR="00302753" w:rsidRPr="005B0656">
        <w:t>a</w:t>
      </w:r>
      <w:r w:rsidR="004F355B" w:rsidRPr="005B0656">
        <w:t xml:space="preserve"> continuous clinical skills program within the curriculum for the professional</w:t>
      </w:r>
      <w:r w:rsidR="002D0BB0">
        <w:t>-</w:t>
      </w:r>
      <w:r w:rsidR="004F355B" w:rsidRPr="005B0656">
        <w:t xml:space="preserve">entry medical program at the Monash School of Rural </w:t>
      </w:r>
      <w:r w:rsidR="00B076DB" w:rsidRPr="005B0656">
        <w:t>Health. The</w:t>
      </w:r>
      <w:r w:rsidR="00951F3B" w:rsidRPr="005B0656">
        <w:t xml:space="preserve"> aim is</w:t>
      </w:r>
      <w:r w:rsidR="00236A37" w:rsidRPr="005B0656">
        <w:t xml:space="preserve"> to inform simulation as a methodology in the </w:t>
      </w:r>
      <w:r w:rsidR="007B6FEB" w:rsidRPr="005B0656">
        <w:t>u</w:t>
      </w:r>
      <w:r w:rsidR="00236A37" w:rsidRPr="005B0656">
        <w:t xml:space="preserve">niversity curriculum, validate the use of simulation to support the learning outcomes for students and endeavour to improve patient outcomes in the health care community. The research </w:t>
      </w:r>
      <w:r w:rsidR="00951F3B" w:rsidRPr="005B0656">
        <w:t>activities</w:t>
      </w:r>
      <w:r w:rsidR="00236A37" w:rsidRPr="005B0656">
        <w:t xml:space="preserve"> will be facilitated by the educators in the centre </w:t>
      </w:r>
      <w:r w:rsidR="00951F3B" w:rsidRPr="005B0656">
        <w:t>who</w:t>
      </w:r>
      <w:r w:rsidR="00236A37" w:rsidRPr="005B0656">
        <w:t xml:space="preserve"> have a</w:t>
      </w:r>
      <w:r w:rsidR="007B6FEB" w:rsidRPr="005B0656">
        <w:t xml:space="preserve"> strong</w:t>
      </w:r>
      <w:r w:rsidR="00236A37" w:rsidRPr="005B0656">
        <w:t xml:space="preserve"> research record</w:t>
      </w:r>
      <w:r w:rsidR="00951F3B" w:rsidRPr="005B0656">
        <w:t xml:space="preserve"> and </w:t>
      </w:r>
      <w:r w:rsidR="007B6FEB" w:rsidRPr="005B0656">
        <w:t xml:space="preserve">will be </w:t>
      </w:r>
      <w:r w:rsidR="00951F3B" w:rsidRPr="005B0656">
        <w:t xml:space="preserve">supported by the </w:t>
      </w:r>
      <w:r w:rsidR="004F355B" w:rsidRPr="005B0656">
        <w:t xml:space="preserve">resources within each </w:t>
      </w:r>
      <w:r w:rsidR="002D0BB0">
        <w:t>u</w:t>
      </w:r>
      <w:r w:rsidR="004F355B" w:rsidRPr="005B0656">
        <w:t>niversity</w:t>
      </w:r>
      <w:r w:rsidR="00951F3B" w:rsidRPr="005B0656">
        <w:t>.</w:t>
      </w:r>
    </w:p>
    <w:p w:rsidR="00162D79" w:rsidRPr="005B0656" w:rsidRDefault="005B0656" w:rsidP="005B0656">
      <w:pPr>
        <w:pStyle w:val="Healthheading2"/>
      </w:pPr>
      <w:r>
        <w:t>Conclusion</w:t>
      </w:r>
    </w:p>
    <w:p w:rsidR="008D1B81" w:rsidRPr="005B0656" w:rsidRDefault="008D1B81" w:rsidP="005B0656">
      <w:pPr>
        <w:pStyle w:val="Healthbody"/>
      </w:pPr>
      <w:r w:rsidRPr="005B0656">
        <w:t xml:space="preserve">The collaboration for this project </w:t>
      </w:r>
      <w:r w:rsidR="004F355B" w:rsidRPr="005B0656">
        <w:t>wa</w:t>
      </w:r>
      <w:r w:rsidRPr="005B0656">
        <w:t>s between Bendigo TAFE, Bendigo Health, Monash University and La Trobe University.</w:t>
      </w:r>
    </w:p>
    <w:p w:rsidR="008D1B81" w:rsidRPr="005B0656" w:rsidRDefault="008D1B81" w:rsidP="005B0656">
      <w:pPr>
        <w:pStyle w:val="Healthbody"/>
      </w:pPr>
      <w:r w:rsidRPr="005B0656">
        <w:t>Through this partnership</w:t>
      </w:r>
      <w:r w:rsidR="007B6FEB" w:rsidRPr="005B0656">
        <w:t>,</w:t>
      </w:r>
      <w:r w:rsidRPr="005B0656">
        <w:t xml:space="preserve"> </w:t>
      </w:r>
      <w:r w:rsidR="004F355B" w:rsidRPr="005B0656">
        <w:t xml:space="preserve">the project </w:t>
      </w:r>
      <w:r w:rsidRPr="005B0656">
        <w:t xml:space="preserve">delivery hours and quality standards </w:t>
      </w:r>
      <w:r w:rsidR="004F355B" w:rsidRPr="005B0656">
        <w:t>exceeded the objectives and goals set for the project.</w:t>
      </w:r>
    </w:p>
    <w:p w:rsidR="008D1B81" w:rsidRPr="005B0656" w:rsidRDefault="008D1B81" w:rsidP="005B0656">
      <w:pPr>
        <w:pStyle w:val="Healthbody"/>
      </w:pPr>
      <w:r w:rsidRPr="005B0656">
        <w:t xml:space="preserve">The </w:t>
      </w:r>
      <w:r w:rsidR="007B6FEB" w:rsidRPr="005B0656">
        <w:t>cost in terms of</w:t>
      </w:r>
      <w:r w:rsidR="004F355B" w:rsidRPr="005B0656">
        <w:t xml:space="preserve"> staff</w:t>
      </w:r>
      <w:r w:rsidR="007B6FEB" w:rsidRPr="005B0656">
        <w:t xml:space="preserve"> </w:t>
      </w:r>
      <w:r w:rsidR="004F355B" w:rsidRPr="005B0656">
        <w:t>productivity, budgets</w:t>
      </w:r>
      <w:r w:rsidR="007B6FEB" w:rsidRPr="005B0656">
        <w:t xml:space="preserve"> and </w:t>
      </w:r>
      <w:r w:rsidR="004F355B" w:rsidRPr="005B0656">
        <w:t xml:space="preserve">other resources </w:t>
      </w:r>
      <w:r w:rsidRPr="005B0656">
        <w:t xml:space="preserve">to coordinate, administer, manage, report and communicate </w:t>
      </w:r>
      <w:r w:rsidR="004F355B" w:rsidRPr="005B0656">
        <w:t>were also</w:t>
      </w:r>
      <w:r w:rsidRPr="005B0656">
        <w:t xml:space="preserve"> </w:t>
      </w:r>
      <w:r w:rsidR="004F355B" w:rsidRPr="005B0656">
        <w:t>high</w:t>
      </w:r>
      <w:r w:rsidRPr="005B0656">
        <w:t>.</w:t>
      </w:r>
    </w:p>
    <w:p w:rsidR="008D1B81" w:rsidRPr="005B0656" w:rsidRDefault="008D1B81" w:rsidP="005B0656">
      <w:pPr>
        <w:pStyle w:val="Healthbody"/>
      </w:pPr>
      <w:r w:rsidRPr="005B0656">
        <w:t xml:space="preserve">The relationships built with </w:t>
      </w:r>
      <w:r w:rsidR="004F355B" w:rsidRPr="005B0656">
        <w:t>the</w:t>
      </w:r>
      <w:r w:rsidRPr="005B0656">
        <w:t xml:space="preserve"> </w:t>
      </w:r>
      <w:r w:rsidR="002D0BB0">
        <w:t>twenty-four</w:t>
      </w:r>
      <w:r w:rsidRPr="005B0656">
        <w:t xml:space="preserve"> health service partners and the strengthening of collaboration</w:t>
      </w:r>
      <w:r w:rsidR="004F355B" w:rsidRPr="005B0656">
        <w:t>s</w:t>
      </w:r>
      <w:r w:rsidRPr="005B0656">
        <w:t xml:space="preserve"> </w:t>
      </w:r>
      <w:r w:rsidR="007B6FEB" w:rsidRPr="005B0656">
        <w:t>as a CPN w</w:t>
      </w:r>
      <w:r w:rsidR="004F355B" w:rsidRPr="005B0656">
        <w:t>ere</w:t>
      </w:r>
      <w:r w:rsidR="007B6FEB" w:rsidRPr="005B0656">
        <w:t xml:space="preserve"> enhanced by the </w:t>
      </w:r>
      <w:r w:rsidR="00364ABC">
        <w:t>LM SLE</w:t>
      </w:r>
      <w:r w:rsidRPr="005B0656">
        <w:t xml:space="preserve"> project. </w:t>
      </w:r>
      <w:r w:rsidR="004F355B" w:rsidRPr="005B0656">
        <w:t>Strong r</w:t>
      </w:r>
      <w:r w:rsidRPr="005B0656">
        <w:t>elations</w:t>
      </w:r>
      <w:r w:rsidR="004F355B" w:rsidRPr="005B0656">
        <w:t>hips</w:t>
      </w:r>
      <w:r w:rsidRPr="005B0656">
        <w:t xml:space="preserve"> are </w:t>
      </w:r>
      <w:r w:rsidR="004F355B" w:rsidRPr="005B0656">
        <w:t>essential</w:t>
      </w:r>
      <w:r w:rsidRPr="005B0656">
        <w:t xml:space="preserve"> for </w:t>
      </w:r>
      <w:r w:rsidR="004F355B" w:rsidRPr="005B0656">
        <w:t xml:space="preserve">the delivery of high quality </w:t>
      </w:r>
      <w:r w:rsidRPr="005B0656">
        <w:t>education</w:t>
      </w:r>
      <w:r w:rsidR="004F355B" w:rsidRPr="005B0656">
        <w:t>,</w:t>
      </w:r>
      <w:r w:rsidRPr="005B0656">
        <w:t xml:space="preserve"> clinical placements and professional development within </w:t>
      </w:r>
      <w:r w:rsidR="004F355B" w:rsidRPr="005B0656">
        <w:t>the</w:t>
      </w:r>
      <w:r w:rsidRPr="005B0656">
        <w:t xml:space="preserve"> health professions. </w:t>
      </w:r>
      <w:r w:rsidR="004F355B" w:rsidRPr="005B0656">
        <w:t>The project partners are</w:t>
      </w:r>
      <w:r w:rsidRPr="005B0656">
        <w:t xml:space="preserve"> committed </w:t>
      </w:r>
      <w:r w:rsidR="004F355B" w:rsidRPr="005B0656">
        <w:t>to</w:t>
      </w:r>
      <w:r w:rsidR="00F334AC" w:rsidRPr="005B0656">
        <w:t>,</w:t>
      </w:r>
      <w:r w:rsidR="004F355B" w:rsidRPr="005B0656">
        <w:t xml:space="preserve"> </w:t>
      </w:r>
      <w:r w:rsidRPr="005B0656">
        <w:t>and believe in</w:t>
      </w:r>
      <w:r w:rsidR="00F334AC" w:rsidRPr="005B0656">
        <w:t>, the</w:t>
      </w:r>
      <w:r w:rsidRPr="005B0656">
        <w:t xml:space="preserve"> </w:t>
      </w:r>
      <w:r w:rsidR="004F355B" w:rsidRPr="005B0656">
        <w:t xml:space="preserve">rural health education </w:t>
      </w:r>
      <w:r w:rsidRPr="005B0656">
        <w:t>mandate to build and maintain a well-trained health workforce for the L</w:t>
      </w:r>
      <w:r w:rsidR="007B6FEB" w:rsidRPr="005B0656">
        <w:t>M</w:t>
      </w:r>
      <w:r w:rsidRPr="005B0656">
        <w:t xml:space="preserve"> region.</w:t>
      </w:r>
    </w:p>
    <w:p w:rsidR="008D1B81" w:rsidRPr="005B0656" w:rsidRDefault="008D1B81" w:rsidP="005B0656">
      <w:pPr>
        <w:pStyle w:val="Healthbody"/>
      </w:pPr>
      <w:r w:rsidRPr="005B0656">
        <w:t>S</w:t>
      </w:r>
      <w:r w:rsidR="007B6FEB" w:rsidRPr="005B0656">
        <w:t>LE</w:t>
      </w:r>
      <w:r w:rsidR="004F355B" w:rsidRPr="005B0656">
        <w:t xml:space="preserve"> </w:t>
      </w:r>
      <w:r w:rsidR="007B6FEB" w:rsidRPr="005B0656">
        <w:t>s</w:t>
      </w:r>
      <w:r w:rsidR="004F355B" w:rsidRPr="005B0656">
        <w:t xml:space="preserve">essions </w:t>
      </w:r>
      <w:r w:rsidRPr="005B0656">
        <w:t xml:space="preserve">were </w:t>
      </w:r>
      <w:r w:rsidR="004F355B" w:rsidRPr="005B0656">
        <w:t xml:space="preserve">well received as evidenced </w:t>
      </w:r>
      <w:r w:rsidRPr="005B0656">
        <w:t xml:space="preserve">by the </w:t>
      </w:r>
      <w:r w:rsidR="004F355B" w:rsidRPr="005B0656">
        <w:t xml:space="preserve">high </w:t>
      </w:r>
      <w:r w:rsidRPr="005B0656">
        <w:t xml:space="preserve">attendance </w:t>
      </w:r>
      <w:r w:rsidR="004F355B" w:rsidRPr="005B0656">
        <w:t xml:space="preserve">rates </w:t>
      </w:r>
      <w:r w:rsidRPr="005B0656">
        <w:t xml:space="preserve">of students who often requested more sessions and our other learner groups who took time out from their busy </w:t>
      </w:r>
      <w:r w:rsidR="004F355B" w:rsidRPr="005B0656">
        <w:t xml:space="preserve">work </w:t>
      </w:r>
      <w:r w:rsidRPr="005B0656">
        <w:t xml:space="preserve">schedules to </w:t>
      </w:r>
      <w:r w:rsidR="004F355B" w:rsidRPr="005B0656">
        <w:t>attend</w:t>
      </w:r>
      <w:r w:rsidRPr="005B0656">
        <w:t xml:space="preserve"> the </w:t>
      </w:r>
      <w:r w:rsidR="004F355B" w:rsidRPr="005B0656">
        <w:t xml:space="preserve">scheduled </w:t>
      </w:r>
      <w:r w:rsidRPr="005B0656">
        <w:t>SLE training</w:t>
      </w:r>
      <w:r w:rsidR="004F355B" w:rsidRPr="005B0656">
        <w:t>.</w:t>
      </w:r>
      <w:r w:rsidRPr="005B0656">
        <w:t xml:space="preserve"> </w:t>
      </w:r>
    </w:p>
    <w:p w:rsidR="008D1B81" w:rsidRPr="005B0656" w:rsidRDefault="007B6FEB" w:rsidP="005B0656">
      <w:pPr>
        <w:pStyle w:val="Healthbody"/>
      </w:pPr>
      <w:r w:rsidRPr="005B0656">
        <w:t>Nursing</w:t>
      </w:r>
      <w:r w:rsidR="008D1B81" w:rsidRPr="005B0656">
        <w:t xml:space="preserve"> was well supported as a </w:t>
      </w:r>
      <w:r w:rsidR="004F355B" w:rsidRPr="005B0656">
        <w:t xml:space="preserve">discipline in the category </w:t>
      </w:r>
      <w:r w:rsidR="008D1B81" w:rsidRPr="005B0656">
        <w:t xml:space="preserve">of </w:t>
      </w:r>
      <w:r w:rsidR="00F334AC" w:rsidRPr="005B0656">
        <w:t>‘</w:t>
      </w:r>
      <w:r w:rsidR="008D1B81" w:rsidRPr="005B0656">
        <w:t>other learners</w:t>
      </w:r>
      <w:r w:rsidR="00F334AC" w:rsidRPr="005B0656">
        <w:t>’</w:t>
      </w:r>
      <w:r w:rsidRPr="005B0656">
        <w:t>.</w:t>
      </w:r>
      <w:r w:rsidR="0057128F">
        <w:t xml:space="preserve"> </w:t>
      </w:r>
      <w:r w:rsidR="004F355B" w:rsidRPr="005B0656">
        <w:t>However</w:t>
      </w:r>
      <w:r w:rsidR="00F334AC" w:rsidRPr="005B0656">
        <w:t>,</w:t>
      </w:r>
      <w:r w:rsidR="004F355B" w:rsidRPr="005B0656">
        <w:t xml:space="preserve"> </w:t>
      </w:r>
      <w:r w:rsidR="008B1E09" w:rsidRPr="005B0656">
        <w:t xml:space="preserve">better strategies need to be implemented via the health services </w:t>
      </w:r>
      <w:r w:rsidR="008D1B81" w:rsidRPr="005B0656">
        <w:t>for medicine and other disciplines to participate in simulation scenario</w:t>
      </w:r>
      <w:r w:rsidR="004F355B" w:rsidRPr="005B0656">
        <w:t>s</w:t>
      </w:r>
      <w:r w:rsidR="008D1B81" w:rsidRPr="005B0656">
        <w:t>.</w:t>
      </w:r>
    </w:p>
    <w:p w:rsidR="008D1B81" w:rsidRPr="005B0656" w:rsidRDefault="008D1B81" w:rsidP="005B0656">
      <w:pPr>
        <w:pStyle w:val="Healthbody"/>
      </w:pPr>
      <w:r w:rsidRPr="005B0656">
        <w:t xml:space="preserve">Bendigo TAFE and </w:t>
      </w:r>
      <w:proofErr w:type="spellStart"/>
      <w:r w:rsidRPr="005B0656">
        <w:t>Sunraysia</w:t>
      </w:r>
      <w:proofErr w:type="spellEnd"/>
      <w:r w:rsidRPr="005B0656">
        <w:t xml:space="preserve"> TAFE have </w:t>
      </w:r>
      <w:r w:rsidR="007B6FEB" w:rsidRPr="005B0656">
        <w:t>contributed</w:t>
      </w:r>
      <w:r w:rsidRPr="005B0656">
        <w:t xml:space="preserve"> to this simulation education model and the</w:t>
      </w:r>
      <w:r w:rsidR="007B6FEB" w:rsidRPr="005B0656">
        <w:t>ir</w:t>
      </w:r>
      <w:r w:rsidRPr="005B0656">
        <w:t xml:space="preserve"> work in the education of enrolled nurses in this region</w:t>
      </w:r>
      <w:r w:rsidR="004F355B" w:rsidRPr="005B0656">
        <w:t xml:space="preserve"> is extensive.</w:t>
      </w:r>
    </w:p>
    <w:p w:rsidR="008D1B81" w:rsidRPr="005B0656" w:rsidRDefault="008D1B81" w:rsidP="005B0656">
      <w:pPr>
        <w:pStyle w:val="Healthbody"/>
      </w:pPr>
      <w:r w:rsidRPr="005B0656">
        <w:t>Bendigo TAFE</w:t>
      </w:r>
      <w:r w:rsidR="007B6FEB" w:rsidRPr="005B0656">
        <w:t>,</w:t>
      </w:r>
      <w:r w:rsidRPr="005B0656">
        <w:t xml:space="preserve"> as a partner</w:t>
      </w:r>
      <w:r w:rsidR="007B6FEB" w:rsidRPr="005B0656">
        <w:t>,</w:t>
      </w:r>
      <w:r w:rsidRPr="005B0656">
        <w:t xml:space="preserve"> has been an important voice in discussions surrounding vertical integration training for nurses</w:t>
      </w:r>
      <w:r w:rsidR="008B1E09" w:rsidRPr="005B0656">
        <w:t xml:space="preserve"> and we aim for this to continue</w:t>
      </w:r>
      <w:r w:rsidRPr="005B0656">
        <w:t>.</w:t>
      </w:r>
    </w:p>
    <w:p w:rsidR="008D1B81" w:rsidRPr="005B0656" w:rsidRDefault="004F355B" w:rsidP="005B0656">
      <w:pPr>
        <w:pStyle w:val="Healthbody"/>
      </w:pPr>
      <w:r w:rsidRPr="005B0656">
        <w:t>With</w:t>
      </w:r>
      <w:r w:rsidR="008D1B81" w:rsidRPr="005B0656">
        <w:t xml:space="preserve"> respect to the sustainability of simulation training in the LM </w:t>
      </w:r>
      <w:r w:rsidR="008B1E09" w:rsidRPr="005B0656">
        <w:t xml:space="preserve">CPN </w:t>
      </w:r>
      <w:r w:rsidR="008D1B81" w:rsidRPr="005B0656">
        <w:t xml:space="preserve">region, this project </w:t>
      </w:r>
      <w:r w:rsidR="00344F3A" w:rsidRPr="005B0656">
        <w:t>will</w:t>
      </w:r>
      <w:r w:rsidR="008D1B81" w:rsidRPr="005B0656">
        <w:t xml:space="preserve"> continue to deliver high hours of simulation </w:t>
      </w:r>
      <w:r w:rsidR="00344F3A" w:rsidRPr="005B0656">
        <w:t>using a lean business model including cost recovery from a user</w:t>
      </w:r>
      <w:r w:rsidR="00F334AC" w:rsidRPr="005B0656">
        <w:t>-</w:t>
      </w:r>
      <w:r w:rsidR="00344F3A" w:rsidRPr="005B0656">
        <w:t>pays model</w:t>
      </w:r>
      <w:r w:rsidR="008D1B81" w:rsidRPr="005B0656">
        <w:t xml:space="preserve">. </w:t>
      </w:r>
    </w:p>
    <w:p w:rsidR="008D1B81" w:rsidRPr="005B0656" w:rsidRDefault="00C165F7" w:rsidP="005B0656">
      <w:pPr>
        <w:pStyle w:val="Healthbody"/>
      </w:pPr>
      <w:r w:rsidRPr="005B0656">
        <w:t>Managers</w:t>
      </w:r>
      <w:r w:rsidR="008D1B81" w:rsidRPr="005B0656">
        <w:t xml:space="preserve">, administrators and education </w:t>
      </w:r>
      <w:r w:rsidR="00344F3A" w:rsidRPr="005B0656">
        <w:t>project teams aim</w:t>
      </w:r>
      <w:r w:rsidR="008D1B81" w:rsidRPr="005B0656">
        <w:t xml:space="preserve"> to streamline processes, continue to share resources </w:t>
      </w:r>
      <w:r w:rsidR="007C55C8" w:rsidRPr="005B0656">
        <w:t>and</w:t>
      </w:r>
      <w:r w:rsidR="008D1B81" w:rsidRPr="005B0656">
        <w:t xml:space="preserve"> most importantly</w:t>
      </w:r>
      <w:r w:rsidR="00344F3A" w:rsidRPr="005B0656">
        <w:t xml:space="preserve"> </w:t>
      </w:r>
      <w:r w:rsidR="008B1E09" w:rsidRPr="005B0656">
        <w:t>maximi</w:t>
      </w:r>
      <w:r w:rsidR="00F334AC" w:rsidRPr="005B0656">
        <w:t>s</w:t>
      </w:r>
      <w:r w:rsidR="008B1E09" w:rsidRPr="005B0656">
        <w:t>e</w:t>
      </w:r>
      <w:r w:rsidR="008D1B81" w:rsidRPr="005B0656">
        <w:t xml:space="preserve"> </w:t>
      </w:r>
      <w:r w:rsidR="0057128F">
        <w:t>in-reach</w:t>
      </w:r>
      <w:r w:rsidR="00344F3A" w:rsidRPr="005B0656">
        <w:t xml:space="preserve"> </w:t>
      </w:r>
      <w:r w:rsidR="008D1B81" w:rsidRPr="005B0656">
        <w:t>simulation sessions.</w:t>
      </w:r>
    </w:p>
    <w:p w:rsidR="008D1B81" w:rsidRPr="005B0656" w:rsidRDefault="008D1B81" w:rsidP="005B0656">
      <w:pPr>
        <w:pStyle w:val="Healthbody"/>
      </w:pPr>
      <w:r w:rsidRPr="005B0656">
        <w:t xml:space="preserve">A </w:t>
      </w:r>
      <w:r w:rsidR="00C165F7" w:rsidRPr="005B0656">
        <w:t xml:space="preserve">new sustainable </w:t>
      </w:r>
      <w:r w:rsidRPr="005B0656">
        <w:t>model</w:t>
      </w:r>
      <w:r w:rsidR="007C55C8" w:rsidRPr="005B0656">
        <w:t>,</w:t>
      </w:r>
      <w:r w:rsidR="00C165F7" w:rsidRPr="005B0656">
        <w:t xml:space="preserve"> where </w:t>
      </w:r>
      <w:r w:rsidR="00344F3A" w:rsidRPr="005B0656">
        <w:t xml:space="preserve">SLE </w:t>
      </w:r>
      <w:r w:rsidR="00C165F7" w:rsidRPr="005B0656">
        <w:t>forms the basis of significant amounts of teaching before and during clinical placements</w:t>
      </w:r>
      <w:r w:rsidR="007C55C8" w:rsidRPr="005B0656">
        <w:t>,</w:t>
      </w:r>
      <w:r w:rsidR="00C165F7" w:rsidRPr="005B0656">
        <w:t xml:space="preserve"> and a better learning model for students</w:t>
      </w:r>
      <w:r w:rsidR="007C55C8" w:rsidRPr="005B0656">
        <w:t>,</w:t>
      </w:r>
      <w:r w:rsidRPr="005B0656">
        <w:t xml:space="preserve"> </w:t>
      </w:r>
      <w:r w:rsidR="00344F3A" w:rsidRPr="005B0656">
        <w:t>has</w:t>
      </w:r>
      <w:r w:rsidRPr="005B0656">
        <w:t xml:space="preserve"> been </w:t>
      </w:r>
      <w:r w:rsidR="00861CD2" w:rsidRPr="005B0656">
        <w:t xml:space="preserve">embraced and accepted as the new best practice </w:t>
      </w:r>
      <w:r w:rsidRPr="005B0656">
        <w:t>for this region</w:t>
      </w:r>
      <w:r w:rsidR="00C165F7" w:rsidRPr="005B0656">
        <w:t xml:space="preserve">. It </w:t>
      </w:r>
      <w:r w:rsidR="00861CD2" w:rsidRPr="005B0656">
        <w:t>is the aim of the project to</w:t>
      </w:r>
      <w:r w:rsidRPr="005B0656">
        <w:t xml:space="preserve"> make student</w:t>
      </w:r>
      <w:r w:rsidR="00861CD2" w:rsidRPr="005B0656">
        <w:t xml:space="preserve"> and other learner</w:t>
      </w:r>
      <w:r w:rsidRPr="005B0656">
        <w:t xml:space="preserve"> </w:t>
      </w:r>
      <w:r w:rsidR="00344F3A" w:rsidRPr="005B0656">
        <w:t xml:space="preserve">SLE </w:t>
      </w:r>
      <w:r w:rsidR="00C165F7" w:rsidRPr="005B0656">
        <w:t>education</w:t>
      </w:r>
      <w:r w:rsidRPr="005B0656">
        <w:t xml:space="preserve"> more sustainable</w:t>
      </w:r>
      <w:r w:rsidR="00C165F7" w:rsidRPr="005B0656">
        <w:t xml:space="preserve"> by a combination of not only external funding </w:t>
      </w:r>
      <w:bookmarkStart w:id="0" w:name="_GoBack"/>
      <w:bookmarkEnd w:id="0"/>
      <w:r w:rsidR="00C165F7" w:rsidRPr="005B0656">
        <w:t xml:space="preserve">but also </w:t>
      </w:r>
      <w:r w:rsidR="00344F3A" w:rsidRPr="005B0656">
        <w:t>lean business practices</w:t>
      </w:r>
      <w:r w:rsidR="00C165F7" w:rsidRPr="005B0656">
        <w:t>, increased efficiencies and focused use of staff time.</w:t>
      </w:r>
    </w:p>
    <w:p w:rsidR="00637D81" w:rsidRPr="005B0656" w:rsidRDefault="008D1B81" w:rsidP="005B0656">
      <w:pPr>
        <w:pStyle w:val="Healthbody"/>
        <w:rPr>
          <w:rFonts w:cs="Arial"/>
          <w:szCs w:val="20"/>
        </w:rPr>
      </w:pPr>
      <w:r w:rsidRPr="005B0656">
        <w:t xml:space="preserve">Health services and </w:t>
      </w:r>
      <w:r w:rsidR="007C55C8" w:rsidRPr="005B0656">
        <w:t>e</w:t>
      </w:r>
      <w:r w:rsidRPr="005B0656">
        <w:t xml:space="preserve">ducation providers </w:t>
      </w:r>
      <w:r w:rsidR="00861CD2" w:rsidRPr="005B0656">
        <w:t xml:space="preserve">will </w:t>
      </w:r>
      <w:r w:rsidRPr="005B0656">
        <w:t xml:space="preserve">continue to work together </w:t>
      </w:r>
      <w:r w:rsidR="00F334AC" w:rsidRPr="005B0656">
        <w:t>in the LM</w:t>
      </w:r>
      <w:r w:rsidR="002D0BB0">
        <w:t xml:space="preserve"> </w:t>
      </w:r>
      <w:r w:rsidR="00344F3A" w:rsidRPr="005B0656">
        <w:t xml:space="preserve">CPN to achieve </w:t>
      </w:r>
      <w:r w:rsidR="00861CD2" w:rsidRPr="005B0656">
        <w:t xml:space="preserve">the best possible </w:t>
      </w:r>
      <w:r w:rsidR="00344F3A" w:rsidRPr="005B0656">
        <w:t>results</w:t>
      </w:r>
      <w:r w:rsidR="00861CD2" w:rsidRPr="005B0656">
        <w:t xml:space="preserve"> for students on clinical placements and health professional training</w:t>
      </w:r>
      <w:r w:rsidR="00344F3A" w:rsidRPr="005B0656">
        <w:t>.</w:t>
      </w:r>
    </w:p>
    <w:sectPr w:rsidR="00637D81" w:rsidRPr="005B0656" w:rsidSect="000C7BCB">
      <w:headerReference w:type="default" r:id="rId14"/>
      <w:footerReference w:type="default" r:id="rId15"/>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B0" w:rsidRDefault="002D0BB0">
      <w:r>
        <w:separator/>
      </w:r>
    </w:p>
  </w:endnote>
  <w:endnote w:type="continuationSeparator" w:id="0">
    <w:p w:rsidR="002D0BB0" w:rsidRDefault="002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B0" w:rsidRPr="000D3B7B" w:rsidRDefault="002D0BB0" w:rsidP="004D35E6">
    <w:pPr>
      <w:pStyle w:val="Healthfooter"/>
      <w:rPr>
        <w:color w:val="0073CF"/>
        <w:sz w:val="24"/>
      </w:rPr>
    </w:pPr>
    <w:r>
      <w:rPr>
        <w:noProof/>
        <w:sz w:val="24"/>
        <w:szCs w:val="20"/>
        <w:lang w:eastAsia="en-AU"/>
      </w:rPr>
      <w:drawing>
        <wp:anchor distT="0" distB="0" distL="114300" distR="114300" simplePos="0" relativeHeight="251657216"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B0" w:rsidRPr="000D3B7B" w:rsidRDefault="002D0BB0" w:rsidP="004D35E6">
    <w:pPr>
      <w:pStyle w:val="Healthfooter"/>
      <w:rPr>
        <w:color w:val="0073CF"/>
        <w:sz w:val="24"/>
      </w:rPr>
    </w:pPr>
    <w:r>
      <w:rPr>
        <w:noProof/>
        <w:sz w:val="24"/>
        <w:szCs w:val="20"/>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2" name="Picture 2"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anchor>
      </w:drawing>
    </w:r>
    <w:r w:rsidRPr="000D3B7B">
      <w:rPr>
        <w:sz w:val="24"/>
      </w:rPr>
      <w:tab/>
    </w:r>
    <w:r w:rsidRPr="000D3B7B">
      <w:rPr>
        <w:color w:val="0073CF"/>
        <w:sz w:val="24"/>
      </w:rPr>
      <w:t>Department of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B0" w:rsidRPr="00B43637" w:rsidRDefault="002D0BB0" w:rsidP="004D35E6">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1C03BD">
      <w:rPr>
        <w:rStyle w:val="PageNumber"/>
        <w:noProof/>
      </w:rPr>
      <w:t>14</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B0" w:rsidRDefault="002D0BB0">
      <w:r>
        <w:separator/>
      </w:r>
    </w:p>
  </w:footnote>
  <w:footnote w:type="continuationSeparator" w:id="0">
    <w:p w:rsidR="002D0BB0" w:rsidRDefault="002D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B0" w:rsidRDefault="002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C8"/>
    <w:multiLevelType w:val="multilevel"/>
    <w:tmpl w:val="277E8584"/>
    <w:lvl w:ilvl="0">
      <w:start w:val="1"/>
      <w:numFmt w:val="decimal"/>
      <w:pStyle w:val="Heading1"/>
      <w:lvlText w:val="%1"/>
      <w:lvlJc w:val="left"/>
      <w:pPr>
        <w:ind w:left="720" w:hanging="360"/>
      </w:pPr>
      <w:rPr>
        <w:rFonts w:ascii="Century Gothic" w:hAnsi="Century Gothic" w:hint="default"/>
        <w:b w:val="0"/>
        <w:i w:val="0"/>
        <w:color w:val="0079C1"/>
        <w:sz w:val="32"/>
      </w:rPr>
    </w:lvl>
    <w:lvl w:ilvl="1">
      <w:start w:val="3"/>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EB72D04"/>
    <w:multiLevelType w:val="hybridMultilevel"/>
    <w:tmpl w:val="5FB2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1300B8C"/>
    <w:multiLevelType w:val="hybridMultilevel"/>
    <w:tmpl w:val="5324FE28"/>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
    <w:nsid w:val="16A15378"/>
    <w:multiLevelType w:val="hybridMultilevel"/>
    <w:tmpl w:val="F682A3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8B636D1"/>
    <w:multiLevelType w:val="multilevel"/>
    <w:tmpl w:val="4852D21A"/>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9255C1E"/>
    <w:multiLevelType w:val="hybridMultilevel"/>
    <w:tmpl w:val="4EB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B0ABD"/>
    <w:multiLevelType w:val="hybridMultilevel"/>
    <w:tmpl w:val="3D10111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nsid w:val="28074F9A"/>
    <w:multiLevelType w:val="hybridMultilevel"/>
    <w:tmpl w:val="200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E57A2"/>
    <w:multiLevelType w:val="multilevel"/>
    <w:tmpl w:val="765E616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35117822"/>
    <w:multiLevelType w:val="hybridMultilevel"/>
    <w:tmpl w:val="ECEA8D06"/>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1">
    <w:nsid w:val="35F65B4A"/>
    <w:multiLevelType w:val="hybridMultilevel"/>
    <w:tmpl w:val="E92CD2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3DCD1120"/>
    <w:multiLevelType w:val="hybridMultilevel"/>
    <w:tmpl w:val="44C6D3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41505761"/>
    <w:multiLevelType w:val="hybridMultilevel"/>
    <w:tmpl w:val="D9EE3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D35132"/>
    <w:multiLevelType w:val="hybridMultilevel"/>
    <w:tmpl w:val="6430EB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62F455D"/>
    <w:multiLevelType w:val="hybridMultilevel"/>
    <w:tmpl w:val="823E1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2F7C3D"/>
    <w:multiLevelType w:val="hybridMultilevel"/>
    <w:tmpl w:val="266C5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4346ED"/>
    <w:multiLevelType w:val="hybridMultilevel"/>
    <w:tmpl w:val="78D4EF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971A9"/>
    <w:multiLevelType w:val="hybridMultilevel"/>
    <w:tmpl w:val="4836BFF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nsid w:val="5891689E"/>
    <w:multiLevelType w:val="hybridMultilevel"/>
    <w:tmpl w:val="7A9AF9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E2075"/>
    <w:multiLevelType w:val="hybridMultilevel"/>
    <w:tmpl w:val="00DC6138"/>
    <w:lvl w:ilvl="0" w:tplc="6F8A9552">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5">
    <w:nsid w:val="6292472C"/>
    <w:multiLevelType w:val="hybridMultilevel"/>
    <w:tmpl w:val="CAF01308"/>
    <w:lvl w:ilvl="0" w:tplc="0C090015">
      <w:start w:val="1"/>
      <w:numFmt w:val="upp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6">
    <w:nsid w:val="650D620A"/>
    <w:multiLevelType w:val="hybridMultilevel"/>
    <w:tmpl w:val="0E400D96"/>
    <w:lvl w:ilvl="0" w:tplc="819E1DD6">
      <w:start w:val="1"/>
      <w:numFmt w:val="lowerLetter"/>
      <w:lvlText w:val="%1."/>
      <w:lvlJc w:val="left"/>
      <w:pPr>
        <w:ind w:left="1778" w:hanging="360"/>
      </w:pPr>
      <w:rPr>
        <w:rFonts w:ascii="Calibri" w:hAnsi="Calibri" w:cs="Calibri" w:hint="default"/>
        <w:b w:val="0"/>
        <w:color w:val="auto"/>
      </w:r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7">
    <w:nsid w:val="6FE5690C"/>
    <w:multiLevelType w:val="multilevel"/>
    <w:tmpl w:val="7612165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72E2150C"/>
    <w:multiLevelType w:val="multilevel"/>
    <w:tmpl w:val="3D8A279A"/>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77681BD6"/>
    <w:multiLevelType w:val="hybridMultilevel"/>
    <w:tmpl w:val="489011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76002"/>
    <w:multiLevelType w:val="hybridMultilevel"/>
    <w:tmpl w:val="00727802"/>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32">
    <w:nsid w:val="7CBA2E0E"/>
    <w:multiLevelType w:val="hybridMultilevel"/>
    <w:tmpl w:val="F92EF51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3">
    <w:nsid w:val="7D002EF8"/>
    <w:multiLevelType w:val="hybridMultilevel"/>
    <w:tmpl w:val="4EF684EC"/>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34">
    <w:nsid w:val="7F023B9F"/>
    <w:multiLevelType w:val="hybridMultilevel"/>
    <w:tmpl w:val="085AE118"/>
    <w:lvl w:ilvl="0" w:tplc="0C090001">
      <w:start w:val="1"/>
      <w:numFmt w:val="bullet"/>
      <w:lvlText w:val=""/>
      <w:lvlJc w:val="left"/>
      <w:pPr>
        <w:ind w:left="7815" w:hanging="360"/>
      </w:pPr>
      <w:rPr>
        <w:rFonts w:ascii="Symbol" w:hAnsi="Symbol" w:hint="default"/>
      </w:rPr>
    </w:lvl>
    <w:lvl w:ilvl="1" w:tplc="0C090003" w:tentative="1">
      <w:start w:val="1"/>
      <w:numFmt w:val="bullet"/>
      <w:lvlText w:val="o"/>
      <w:lvlJc w:val="left"/>
      <w:pPr>
        <w:ind w:left="8535" w:hanging="360"/>
      </w:pPr>
      <w:rPr>
        <w:rFonts w:ascii="Courier New" w:hAnsi="Courier New" w:cs="Courier New" w:hint="default"/>
      </w:rPr>
    </w:lvl>
    <w:lvl w:ilvl="2" w:tplc="0C090005" w:tentative="1">
      <w:start w:val="1"/>
      <w:numFmt w:val="bullet"/>
      <w:lvlText w:val=""/>
      <w:lvlJc w:val="left"/>
      <w:pPr>
        <w:ind w:left="9255" w:hanging="360"/>
      </w:pPr>
      <w:rPr>
        <w:rFonts w:ascii="Wingdings" w:hAnsi="Wingdings" w:hint="default"/>
      </w:rPr>
    </w:lvl>
    <w:lvl w:ilvl="3" w:tplc="0C090001" w:tentative="1">
      <w:start w:val="1"/>
      <w:numFmt w:val="bullet"/>
      <w:lvlText w:val=""/>
      <w:lvlJc w:val="left"/>
      <w:pPr>
        <w:ind w:left="9975" w:hanging="360"/>
      </w:pPr>
      <w:rPr>
        <w:rFonts w:ascii="Symbol" w:hAnsi="Symbol" w:hint="default"/>
      </w:rPr>
    </w:lvl>
    <w:lvl w:ilvl="4" w:tplc="0C090003" w:tentative="1">
      <w:start w:val="1"/>
      <w:numFmt w:val="bullet"/>
      <w:lvlText w:val="o"/>
      <w:lvlJc w:val="left"/>
      <w:pPr>
        <w:ind w:left="10695" w:hanging="360"/>
      </w:pPr>
      <w:rPr>
        <w:rFonts w:ascii="Courier New" w:hAnsi="Courier New" w:cs="Courier New" w:hint="default"/>
      </w:rPr>
    </w:lvl>
    <w:lvl w:ilvl="5" w:tplc="0C090005" w:tentative="1">
      <w:start w:val="1"/>
      <w:numFmt w:val="bullet"/>
      <w:lvlText w:val=""/>
      <w:lvlJc w:val="left"/>
      <w:pPr>
        <w:ind w:left="11415" w:hanging="360"/>
      </w:pPr>
      <w:rPr>
        <w:rFonts w:ascii="Wingdings" w:hAnsi="Wingdings" w:hint="default"/>
      </w:rPr>
    </w:lvl>
    <w:lvl w:ilvl="6" w:tplc="0C090001" w:tentative="1">
      <w:start w:val="1"/>
      <w:numFmt w:val="bullet"/>
      <w:lvlText w:val=""/>
      <w:lvlJc w:val="left"/>
      <w:pPr>
        <w:ind w:left="12135" w:hanging="360"/>
      </w:pPr>
      <w:rPr>
        <w:rFonts w:ascii="Symbol" w:hAnsi="Symbol" w:hint="default"/>
      </w:rPr>
    </w:lvl>
    <w:lvl w:ilvl="7" w:tplc="0C090003" w:tentative="1">
      <w:start w:val="1"/>
      <w:numFmt w:val="bullet"/>
      <w:lvlText w:val="o"/>
      <w:lvlJc w:val="left"/>
      <w:pPr>
        <w:ind w:left="12855" w:hanging="360"/>
      </w:pPr>
      <w:rPr>
        <w:rFonts w:ascii="Courier New" w:hAnsi="Courier New" w:cs="Courier New" w:hint="default"/>
      </w:rPr>
    </w:lvl>
    <w:lvl w:ilvl="8" w:tplc="0C090005" w:tentative="1">
      <w:start w:val="1"/>
      <w:numFmt w:val="bullet"/>
      <w:lvlText w:val=""/>
      <w:lvlJc w:val="left"/>
      <w:pPr>
        <w:ind w:left="13575" w:hanging="360"/>
      </w:pPr>
      <w:rPr>
        <w:rFonts w:ascii="Wingdings" w:hAnsi="Wingdings" w:hint="default"/>
      </w:rPr>
    </w:lvl>
  </w:abstractNum>
  <w:abstractNum w:abstractNumId="35">
    <w:nsid w:val="7FAB20BC"/>
    <w:multiLevelType w:val="hybridMultilevel"/>
    <w:tmpl w:val="28441FC0"/>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num w:numId="1">
    <w:abstractNumId w:val="30"/>
  </w:num>
  <w:num w:numId="2">
    <w:abstractNumId w:val="19"/>
  </w:num>
  <w:num w:numId="3">
    <w:abstractNumId w:val="23"/>
  </w:num>
  <w:num w:numId="4">
    <w:abstractNumId w:val="25"/>
  </w:num>
  <w:num w:numId="5">
    <w:abstractNumId w:val="16"/>
  </w:num>
  <w:num w:numId="6">
    <w:abstractNumId w:val="2"/>
  </w:num>
  <w:num w:numId="7">
    <w:abstractNumId w:val="22"/>
  </w:num>
  <w:num w:numId="8">
    <w:abstractNumId w:val="0"/>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28"/>
  </w:num>
  <w:num w:numId="14">
    <w:abstractNumId w:val="27"/>
  </w:num>
  <w:num w:numId="15">
    <w:abstractNumId w:val="32"/>
  </w:num>
  <w:num w:numId="16">
    <w:abstractNumId w:val="31"/>
  </w:num>
  <w:num w:numId="17">
    <w:abstractNumId w:val="18"/>
  </w:num>
  <w:num w:numId="18">
    <w:abstractNumId w:val="20"/>
  </w:num>
  <w:num w:numId="19">
    <w:abstractNumId w:val="33"/>
  </w:num>
  <w:num w:numId="20">
    <w:abstractNumId w:val="24"/>
  </w:num>
  <w:num w:numId="21">
    <w:abstractNumId w:val="7"/>
  </w:num>
  <w:num w:numId="22">
    <w:abstractNumId w:val="29"/>
  </w:num>
  <w:num w:numId="23">
    <w:abstractNumId w:val="13"/>
  </w:num>
  <w:num w:numId="24">
    <w:abstractNumId w:val="3"/>
  </w:num>
  <w:num w:numId="25">
    <w:abstractNumId w:val="10"/>
  </w:num>
  <w:num w:numId="26">
    <w:abstractNumId w:val="35"/>
  </w:num>
  <w:num w:numId="27">
    <w:abstractNumId w:val="11"/>
  </w:num>
  <w:num w:numId="28">
    <w:abstractNumId w:val="17"/>
  </w:num>
  <w:num w:numId="29">
    <w:abstractNumId w:val="14"/>
  </w:num>
  <w:num w:numId="30">
    <w:abstractNumId w:val="6"/>
  </w:num>
  <w:num w:numId="31">
    <w:abstractNumId w:val="8"/>
  </w:num>
  <w:num w:numId="32">
    <w:abstractNumId w:val="1"/>
  </w:num>
  <w:num w:numId="33">
    <w:abstractNumId w:val="12"/>
  </w:num>
  <w:num w:numId="34">
    <w:abstractNumId w:val="34"/>
  </w:num>
  <w:num w:numId="35">
    <w:abstractNumId w:val="15"/>
  </w:num>
  <w:num w:numId="36">
    <w:abstractNumId w:val="21"/>
  </w:num>
  <w:num w:numId="3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3F"/>
    <w:rsid w:val="00000094"/>
    <w:rsid w:val="0000684A"/>
    <w:rsid w:val="00012FEF"/>
    <w:rsid w:val="00016C68"/>
    <w:rsid w:val="00024663"/>
    <w:rsid w:val="00033880"/>
    <w:rsid w:val="00040CDE"/>
    <w:rsid w:val="0004105D"/>
    <w:rsid w:val="00080CAA"/>
    <w:rsid w:val="0008477A"/>
    <w:rsid w:val="00084803"/>
    <w:rsid w:val="000A5AF3"/>
    <w:rsid w:val="000B205E"/>
    <w:rsid w:val="000C2E2D"/>
    <w:rsid w:val="000C7BCB"/>
    <w:rsid w:val="000D3D91"/>
    <w:rsid w:val="000D4B36"/>
    <w:rsid w:val="000D526A"/>
    <w:rsid w:val="000D6FF4"/>
    <w:rsid w:val="000D7B2E"/>
    <w:rsid w:val="000F1E3F"/>
    <w:rsid w:val="000F2FD0"/>
    <w:rsid w:val="000F6E00"/>
    <w:rsid w:val="000F73F6"/>
    <w:rsid w:val="000F79D4"/>
    <w:rsid w:val="0010530E"/>
    <w:rsid w:val="00116819"/>
    <w:rsid w:val="00145B65"/>
    <w:rsid w:val="00156231"/>
    <w:rsid w:val="00162D79"/>
    <w:rsid w:val="00165C04"/>
    <w:rsid w:val="00166473"/>
    <w:rsid w:val="00174B16"/>
    <w:rsid w:val="0017773F"/>
    <w:rsid w:val="00184667"/>
    <w:rsid w:val="00185709"/>
    <w:rsid w:val="00185FCC"/>
    <w:rsid w:val="00187C48"/>
    <w:rsid w:val="001A30C1"/>
    <w:rsid w:val="001B009A"/>
    <w:rsid w:val="001B06D7"/>
    <w:rsid w:val="001B27AD"/>
    <w:rsid w:val="001C03BD"/>
    <w:rsid w:val="001C3102"/>
    <w:rsid w:val="001D0DD2"/>
    <w:rsid w:val="001E1B76"/>
    <w:rsid w:val="001F1B0A"/>
    <w:rsid w:val="0021255C"/>
    <w:rsid w:val="00215459"/>
    <w:rsid w:val="002200FF"/>
    <w:rsid w:val="00221A57"/>
    <w:rsid w:val="002225C0"/>
    <w:rsid w:val="0022722F"/>
    <w:rsid w:val="00235808"/>
    <w:rsid w:val="00236A37"/>
    <w:rsid w:val="002407EC"/>
    <w:rsid w:val="0024748A"/>
    <w:rsid w:val="0025014B"/>
    <w:rsid w:val="002502B0"/>
    <w:rsid w:val="00254AE7"/>
    <w:rsid w:val="0028321D"/>
    <w:rsid w:val="00290F66"/>
    <w:rsid w:val="002A04CE"/>
    <w:rsid w:val="002A5BB7"/>
    <w:rsid w:val="002B3649"/>
    <w:rsid w:val="002B3D9E"/>
    <w:rsid w:val="002B3E38"/>
    <w:rsid w:val="002C0534"/>
    <w:rsid w:val="002D0BB0"/>
    <w:rsid w:val="002D1C15"/>
    <w:rsid w:val="002E42E9"/>
    <w:rsid w:val="002F4626"/>
    <w:rsid w:val="00301463"/>
    <w:rsid w:val="00302753"/>
    <w:rsid w:val="003133A9"/>
    <w:rsid w:val="0031752F"/>
    <w:rsid w:val="00317666"/>
    <w:rsid w:val="00325554"/>
    <w:rsid w:val="00327FF2"/>
    <w:rsid w:val="003303C4"/>
    <w:rsid w:val="00337CAE"/>
    <w:rsid w:val="00342B35"/>
    <w:rsid w:val="003449DB"/>
    <w:rsid w:val="00344F3A"/>
    <w:rsid w:val="00347F7F"/>
    <w:rsid w:val="003523C8"/>
    <w:rsid w:val="00355EC3"/>
    <w:rsid w:val="00363C49"/>
    <w:rsid w:val="00364ABC"/>
    <w:rsid w:val="00373B1C"/>
    <w:rsid w:val="00383179"/>
    <w:rsid w:val="00384522"/>
    <w:rsid w:val="00394AD6"/>
    <w:rsid w:val="003B4F4B"/>
    <w:rsid w:val="003B6C52"/>
    <w:rsid w:val="003D7892"/>
    <w:rsid w:val="003F2341"/>
    <w:rsid w:val="00406224"/>
    <w:rsid w:val="00415401"/>
    <w:rsid w:val="004300D5"/>
    <w:rsid w:val="0043084E"/>
    <w:rsid w:val="004346BD"/>
    <w:rsid w:val="00436C73"/>
    <w:rsid w:val="004550FD"/>
    <w:rsid w:val="00463B17"/>
    <w:rsid w:val="00472F76"/>
    <w:rsid w:val="0048501C"/>
    <w:rsid w:val="00486C60"/>
    <w:rsid w:val="00486F57"/>
    <w:rsid w:val="00495792"/>
    <w:rsid w:val="00497314"/>
    <w:rsid w:val="004A4357"/>
    <w:rsid w:val="004B5416"/>
    <w:rsid w:val="004C55F7"/>
    <w:rsid w:val="004C5EE9"/>
    <w:rsid w:val="004D0DE4"/>
    <w:rsid w:val="004D35E6"/>
    <w:rsid w:val="004D6B5E"/>
    <w:rsid w:val="004D7F7B"/>
    <w:rsid w:val="004E250D"/>
    <w:rsid w:val="004E52A7"/>
    <w:rsid w:val="004F351B"/>
    <w:rsid w:val="004F355B"/>
    <w:rsid w:val="00501CB5"/>
    <w:rsid w:val="005109BD"/>
    <w:rsid w:val="0051115D"/>
    <w:rsid w:val="00521C72"/>
    <w:rsid w:val="00535848"/>
    <w:rsid w:val="005372C4"/>
    <w:rsid w:val="005417CA"/>
    <w:rsid w:val="0054401B"/>
    <w:rsid w:val="00545391"/>
    <w:rsid w:val="00551E12"/>
    <w:rsid w:val="00553431"/>
    <w:rsid w:val="00562869"/>
    <w:rsid w:val="0057128F"/>
    <w:rsid w:val="005730D0"/>
    <w:rsid w:val="00590B76"/>
    <w:rsid w:val="005932E4"/>
    <w:rsid w:val="00593F1E"/>
    <w:rsid w:val="005A2264"/>
    <w:rsid w:val="005A4013"/>
    <w:rsid w:val="005A4ED3"/>
    <w:rsid w:val="005B0656"/>
    <w:rsid w:val="005B26B2"/>
    <w:rsid w:val="005B290D"/>
    <w:rsid w:val="005C087C"/>
    <w:rsid w:val="005C5BBF"/>
    <w:rsid w:val="005D0A2C"/>
    <w:rsid w:val="005E43CF"/>
    <w:rsid w:val="005F04A5"/>
    <w:rsid w:val="005F7830"/>
    <w:rsid w:val="00607706"/>
    <w:rsid w:val="00631455"/>
    <w:rsid w:val="00632EFB"/>
    <w:rsid w:val="00637D81"/>
    <w:rsid w:val="00640E5F"/>
    <w:rsid w:val="0066469B"/>
    <w:rsid w:val="00686228"/>
    <w:rsid w:val="006A0850"/>
    <w:rsid w:val="006A2A1A"/>
    <w:rsid w:val="006A3EAA"/>
    <w:rsid w:val="006A4CCF"/>
    <w:rsid w:val="006B46FE"/>
    <w:rsid w:val="006B7DDB"/>
    <w:rsid w:val="006C6937"/>
    <w:rsid w:val="006E0658"/>
    <w:rsid w:val="006E0F56"/>
    <w:rsid w:val="006E67E5"/>
    <w:rsid w:val="006F7851"/>
    <w:rsid w:val="00700E06"/>
    <w:rsid w:val="00707929"/>
    <w:rsid w:val="00720891"/>
    <w:rsid w:val="00726D14"/>
    <w:rsid w:val="0072767C"/>
    <w:rsid w:val="00732ADF"/>
    <w:rsid w:val="0073563E"/>
    <w:rsid w:val="0073566E"/>
    <w:rsid w:val="007446C2"/>
    <w:rsid w:val="00770988"/>
    <w:rsid w:val="0077717A"/>
    <w:rsid w:val="007810D7"/>
    <w:rsid w:val="00791A02"/>
    <w:rsid w:val="00793191"/>
    <w:rsid w:val="00794944"/>
    <w:rsid w:val="00795B81"/>
    <w:rsid w:val="0079626A"/>
    <w:rsid w:val="007A1207"/>
    <w:rsid w:val="007B0A10"/>
    <w:rsid w:val="007B6FEB"/>
    <w:rsid w:val="007C004A"/>
    <w:rsid w:val="007C1093"/>
    <w:rsid w:val="007C55C8"/>
    <w:rsid w:val="007E62D9"/>
    <w:rsid w:val="007F1F20"/>
    <w:rsid w:val="00811E81"/>
    <w:rsid w:val="00813FBC"/>
    <w:rsid w:val="00840151"/>
    <w:rsid w:val="00840FFE"/>
    <w:rsid w:val="00842A7F"/>
    <w:rsid w:val="00861CD2"/>
    <w:rsid w:val="0086263E"/>
    <w:rsid w:val="008B05DA"/>
    <w:rsid w:val="008B1E09"/>
    <w:rsid w:val="008B27A2"/>
    <w:rsid w:val="008B4F98"/>
    <w:rsid w:val="008C51FD"/>
    <w:rsid w:val="008C5C56"/>
    <w:rsid w:val="008C655F"/>
    <w:rsid w:val="008C7122"/>
    <w:rsid w:val="008D107B"/>
    <w:rsid w:val="008D1B81"/>
    <w:rsid w:val="008D7CBC"/>
    <w:rsid w:val="008F5D4C"/>
    <w:rsid w:val="00900492"/>
    <w:rsid w:val="0090662E"/>
    <w:rsid w:val="0091023D"/>
    <w:rsid w:val="00911166"/>
    <w:rsid w:val="009155E4"/>
    <w:rsid w:val="00924C27"/>
    <w:rsid w:val="00926E2D"/>
    <w:rsid w:val="009339EC"/>
    <w:rsid w:val="00934718"/>
    <w:rsid w:val="00947510"/>
    <w:rsid w:val="00951F3B"/>
    <w:rsid w:val="00964F78"/>
    <w:rsid w:val="00967171"/>
    <w:rsid w:val="00967FD1"/>
    <w:rsid w:val="00972E91"/>
    <w:rsid w:val="00985DF5"/>
    <w:rsid w:val="009A2625"/>
    <w:rsid w:val="009A276A"/>
    <w:rsid w:val="009A470E"/>
    <w:rsid w:val="009A4F68"/>
    <w:rsid w:val="009A62F5"/>
    <w:rsid w:val="009A71F9"/>
    <w:rsid w:val="009B633C"/>
    <w:rsid w:val="009D4838"/>
    <w:rsid w:val="00A079D7"/>
    <w:rsid w:val="00A17BC8"/>
    <w:rsid w:val="00A309AB"/>
    <w:rsid w:val="00A3369E"/>
    <w:rsid w:val="00A358F3"/>
    <w:rsid w:val="00A375FE"/>
    <w:rsid w:val="00A37AAD"/>
    <w:rsid w:val="00A40808"/>
    <w:rsid w:val="00A44E0D"/>
    <w:rsid w:val="00A54158"/>
    <w:rsid w:val="00A64210"/>
    <w:rsid w:val="00A65B51"/>
    <w:rsid w:val="00A77E00"/>
    <w:rsid w:val="00A8218E"/>
    <w:rsid w:val="00A946DF"/>
    <w:rsid w:val="00AB1DFF"/>
    <w:rsid w:val="00AB2301"/>
    <w:rsid w:val="00AC2BA8"/>
    <w:rsid w:val="00AD2FE9"/>
    <w:rsid w:val="00AE3BDA"/>
    <w:rsid w:val="00AE5E57"/>
    <w:rsid w:val="00AF0564"/>
    <w:rsid w:val="00B01515"/>
    <w:rsid w:val="00B01EDD"/>
    <w:rsid w:val="00B05011"/>
    <w:rsid w:val="00B05BA7"/>
    <w:rsid w:val="00B076DB"/>
    <w:rsid w:val="00B11B4A"/>
    <w:rsid w:val="00B1394B"/>
    <w:rsid w:val="00B14930"/>
    <w:rsid w:val="00B321F5"/>
    <w:rsid w:val="00B364BD"/>
    <w:rsid w:val="00B42D65"/>
    <w:rsid w:val="00B533EB"/>
    <w:rsid w:val="00B631F3"/>
    <w:rsid w:val="00B67C01"/>
    <w:rsid w:val="00B702E1"/>
    <w:rsid w:val="00BA36EB"/>
    <w:rsid w:val="00BC089F"/>
    <w:rsid w:val="00BD7C1E"/>
    <w:rsid w:val="00BE122B"/>
    <w:rsid w:val="00BE2B90"/>
    <w:rsid w:val="00C165F7"/>
    <w:rsid w:val="00C16C70"/>
    <w:rsid w:val="00C61362"/>
    <w:rsid w:val="00C6193F"/>
    <w:rsid w:val="00C63226"/>
    <w:rsid w:val="00C72331"/>
    <w:rsid w:val="00CA2787"/>
    <w:rsid w:val="00CA3575"/>
    <w:rsid w:val="00CA49E0"/>
    <w:rsid w:val="00CB6193"/>
    <w:rsid w:val="00CB6A55"/>
    <w:rsid w:val="00CC4C56"/>
    <w:rsid w:val="00CC50B9"/>
    <w:rsid w:val="00CC6BD9"/>
    <w:rsid w:val="00CE5FA2"/>
    <w:rsid w:val="00CF5B67"/>
    <w:rsid w:val="00CF7D38"/>
    <w:rsid w:val="00D00CB6"/>
    <w:rsid w:val="00D02F0D"/>
    <w:rsid w:val="00D05457"/>
    <w:rsid w:val="00D12EE3"/>
    <w:rsid w:val="00D1650D"/>
    <w:rsid w:val="00D232C2"/>
    <w:rsid w:val="00D31BC7"/>
    <w:rsid w:val="00D33910"/>
    <w:rsid w:val="00D4000B"/>
    <w:rsid w:val="00D6081E"/>
    <w:rsid w:val="00D65AD5"/>
    <w:rsid w:val="00D66528"/>
    <w:rsid w:val="00D75FBB"/>
    <w:rsid w:val="00D77633"/>
    <w:rsid w:val="00DA2E2B"/>
    <w:rsid w:val="00DB0762"/>
    <w:rsid w:val="00DB11D7"/>
    <w:rsid w:val="00DD7C96"/>
    <w:rsid w:val="00DE256F"/>
    <w:rsid w:val="00DF0956"/>
    <w:rsid w:val="00E03A99"/>
    <w:rsid w:val="00E16354"/>
    <w:rsid w:val="00E3025E"/>
    <w:rsid w:val="00E33BE9"/>
    <w:rsid w:val="00E33EBA"/>
    <w:rsid w:val="00E47211"/>
    <w:rsid w:val="00E50780"/>
    <w:rsid w:val="00E51EA0"/>
    <w:rsid w:val="00E54015"/>
    <w:rsid w:val="00E71633"/>
    <w:rsid w:val="00E84193"/>
    <w:rsid w:val="00E91436"/>
    <w:rsid w:val="00E96A09"/>
    <w:rsid w:val="00EA1365"/>
    <w:rsid w:val="00EA46D0"/>
    <w:rsid w:val="00EB1A75"/>
    <w:rsid w:val="00EB5287"/>
    <w:rsid w:val="00EB53A7"/>
    <w:rsid w:val="00EC394A"/>
    <w:rsid w:val="00ED3732"/>
    <w:rsid w:val="00ED5827"/>
    <w:rsid w:val="00ED79D1"/>
    <w:rsid w:val="00EE5A48"/>
    <w:rsid w:val="00EF0D63"/>
    <w:rsid w:val="00EF1308"/>
    <w:rsid w:val="00EF35A2"/>
    <w:rsid w:val="00F02E09"/>
    <w:rsid w:val="00F045B4"/>
    <w:rsid w:val="00F108BC"/>
    <w:rsid w:val="00F16991"/>
    <w:rsid w:val="00F16E3D"/>
    <w:rsid w:val="00F25B10"/>
    <w:rsid w:val="00F25E8F"/>
    <w:rsid w:val="00F334AC"/>
    <w:rsid w:val="00F41336"/>
    <w:rsid w:val="00F466AE"/>
    <w:rsid w:val="00F57481"/>
    <w:rsid w:val="00F633CD"/>
    <w:rsid w:val="00F67629"/>
    <w:rsid w:val="00F70A72"/>
    <w:rsid w:val="00F83B3C"/>
    <w:rsid w:val="00F847F9"/>
    <w:rsid w:val="00F91CB3"/>
    <w:rsid w:val="00F93C34"/>
    <w:rsid w:val="00FA033F"/>
    <w:rsid w:val="00FB6DDA"/>
    <w:rsid w:val="00FD7867"/>
    <w:rsid w:val="00FE2C10"/>
    <w:rsid w:val="00FF66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qFormat/>
    <w:rsid w:val="002A04CE"/>
    <w:pPr>
      <w:keepNext/>
      <w:pageBreakBefore/>
      <w:numPr>
        <w:numId w:val="8"/>
      </w:numPr>
      <w:spacing w:before="120" w:after="360" w:line="240" w:lineRule="atLeast"/>
      <w:jc w:val="both"/>
      <w:outlineLvl w:val="0"/>
    </w:pPr>
    <w:rPr>
      <w:rFonts w:ascii="Arial" w:eastAsia="Calibri" w:hAnsi="Arial"/>
      <w:bCs/>
      <w:color w:val="0079C1"/>
      <w:kern w:val="32"/>
      <w:sz w:val="32"/>
      <w:szCs w:val="32"/>
      <w:lang w:val="x-none" w:eastAsia="x-none"/>
    </w:rPr>
  </w:style>
  <w:style w:type="paragraph" w:styleId="Heading2">
    <w:name w:val="heading 2"/>
    <w:basedOn w:val="Heading1"/>
    <w:next w:val="Normal"/>
    <w:link w:val="Heading2Char"/>
    <w:qFormat/>
    <w:rsid w:val="002A04CE"/>
    <w:pPr>
      <w:pageBreakBefore w:val="0"/>
      <w:numPr>
        <w:numId w:val="0"/>
      </w:numPr>
      <w:spacing w:after="240"/>
      <w:outlineLvl w:val="1"/>
    </w:pPr>
    <w:rPr>
      <w:bCs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04105D"/>
    <w:rPr>
      <w:rFonts w:ascii="Arial" w:eastAsia="MS Mincho" w:hAnsi="Arial"/>
      <w:b/>
      <w:sz w:val="24"/>
      <w:szCs w:val="24"/>
      <w:lang w:val="en-AU" w:eastAsia="en-US" w:bidi="ar-SA"/>
    </w:rPr>
  </w:style>
  <w:style w:type="character" w:styleId="CommentReference">
    <w:name w:val="annotation reference"/>
    <w:uiPriority w:val="99"/>
    <w:semiHidden/>
    <w:rsid w:val="00924C27"/>
    <w:rPr>
      <w:sz w:val="16"/>
      <w:szCs w:val="16"/>
    </w:rPr>
  </w:style>
  <w:style w:type="paragraph" w:styleId="CommentText">
    <w:name w:val="annotation text"/>
    <w:basedOn w:val="Normal"/>
    <w:semiHidden/>
    <w:rsid w:val="00924C27"/>
    <w:rPr>
      <w:sz w:val="20"/>
      <w:szCs w:val="20"/>
    </w:rPr>
  </w:style>
  <w:style w:type="paragraph" w:styleId="CommentSubject">
    <w:name w:val="annotation subject"/>
    <w:basedOn w:val="CommentText"/>
    <w:next w:val="CommentText"/>
    <w:semiHidden/>
    <w:rsid w:val="00924C27"/>
    <w:rPr>
      <w:b/>
      <w:bCs/>
    </w:rPr>
  </w:style>
  <w:style w:type="paragraph" w:styleId="BalloonText">
    <w:name w:val="Balloon Text"/>
    <w:basedOn w:val="Normal"/>
    <w:semiHidden/>
    <w:rsid w:val="00924C27"/>
    <w:rPr>
      <w:rFonts w:ascii="Tahoma" w:hAnsi="Tahoma" w:cs="Tahoma"/>
      <w:sz w:val="16"/>
      <w:szCs w:val="16"/>
    </w:rPr>
  </w:style>
  <w:style w:type="character" w:customStyle="1" w:styleId="Heading1Char">
    <w:name w:val="Heading 1 Char"/>
    <w:link w:val="Heading1"/>
    <w:rsid w:val="002A04CE"/>
    <w:rPr>
      <w:rFonts w:ascii="Arial" w:eastAsia="Calibri" w:hAnsi="Arial"/>
      <w:bCs/>
      <w:color w:val="0079C1"/>
      <w:kern w:val="32"/>
      <w:sz w:val="32"/>
      <w:szCs w:val="32"/>
      <w:lang w:val="x-none" w:eastAsia="x-none"/>
    </w:rPr>
  </w:style>
  <w:style w:type="character" w:customStyle="1" w:styleId="Heading2Char">
    <w:name w:val="Heading 2 Char"/>
    <w:link w:val="Heading2"/>
    <w:rsid w:val="002A04CE"/>
    <w:rPr>
      <w:rFonts w:ascii="Arial" w:eastAsia="Calibri" w:hAnsi="Arial"/>
      <w:iCs/>
      <w:color w:val="0079C1"/>
      <w:kern w:val="32"/>
      <w:sz w:val="28"/>
      <w:szCs w:val="28"/>
      <w:lang w:val="x-none" w:eastAsia="x-none" w:bidi="ar-SA"/>
    </w:rPr>
  </w:style>
  <w:style w:type="character" w:styleId="Hyperlink">
    <w:name w:val="Hyperlink"/>
    <w:semiHidden/>
    <w:rsid w:val="002A04CE"/>
    <w:rPr>
      <w:color w:val="0000FF"/>
      <w:u w:val="single"/>
    </w:rPr>
  </w:style>
  <w:style w:type="character" w:customStyle="1" w:styleId="FootnoteTextChar">
    <w:name w:val="Footnote Text Char"/>
    <w:link w:val="FootnoteText"/>
    <w:semiHidden/>
    <w:rsid w:val="002A04CE"/>
    <w:rPr>
      <w:rFonts w:ascii="Cambria" w:eastAsia="Cambria" w:hAnsi="Cambria"/>
      <w:sz w:val="24"/>
      <w:szCs w:val="24"/>
      <w:lang w:val="en-US" w:eastAsia="en-US" w:bidi="ar-SA"/>
    </w:rPr>
  </w:style>
  <w:style w:type="paragraph" w:styleId="ListParagraph">
    <w:name w:val="List Paragraph"/>
    <w:basedOn w:val="Normal"/>
    <w:qFormat/>
    <w:rsid w:val="002A04CE"/>
    <w:pPr>
      <w:spacing w:before="120" w:after="120"/>
      <w:ind w:left="720"/>
      <w:contextualSpacing/>
    </w:pPr>
    <w:rPr>
      <w:rFonts w:ascii="Times New Roman" w:eastAsia="Calibri" w:hAnsi="Times New Roman"/>
      <w:lang w:val="en-AU" w:eastAsia="en-AU"/>
    </w:rPr>
  </w:style>
  <w:style w:type="paragraph" w:customStyle="1" w:styleId="Standard">
    <w:name w:val="Standard"/>
    <w:rsid w:val="00CB6A55"/>
    <w:pPr>
      <w:suppressAutoHyphens/>
      <w:autoSpaceDN w:val="0"/>
      <w:textAlignment w:val="baseline"/>
    </w:pPr>
    <w:rPr>
      <w:rFonts w:ascii="Arial" w:hAnsi="Arial" w:cs="Arial"/>
      <w:color w:val="000000"/>
      <w:kern w:val="3"/>
      <w:sz w:val="24"/>
      <w:szCs w:val="24"/>
      <w:lang w:val="en-US" w:eastAsia="en-US"/>
    </w:rPr>
  </w:style>
  <w:style w:type="numbering" w:customStyle="1" w:styleId="WWNum5">
    <w:name w:val="WWNum5"/>
    <w:rsid w:val="0086263E"/>
    <w:pPr>
      <w:numPr>
        <w:numId w:val="11"/>
      </w:numPr>
    </w:pPr>
  </w:style>
  <w:style w:type="numbering" w:customStyle="1" w:styleId="WW8Num1">
    <w:name w:val="WW8Num1"/>
    <w:rsid w:val="0086263E"/>
    <w:pPr>
      <w:numPr>
        <w:numId w:val="12"/>
      </w:numPr>
    </w:pPr>
  </w:style>
  <w:style w:type="numbering" w:customStyle="1" w:styleId="WW8Num2">
    <w:name w:val="WW8Num2"/>
    <w:rsid w:val="0086263E"/>
    <w:pPr>
      <w:numPr>
        <w:numId w:val="13"/>
      </w:numPr>
    </w:pPr>
  </w:style>
  <w:style w:type="numbering" w:customStyle="1" w:styleId="RTFNum2">
    <w:name w:val="RTF_Num 2"/>
    <w:rsid w:val="0086263E"/>
    <w:pPr>
      <w:numPr>
        <w:numId w:val="14"/>
      </w:numPr>
    </w:pPr>
  </w:style>
  <w:style w:type="paragraph" w:styleId="NoSpacing">
    <w:name w:val="No Spacing"/>
    <w:uiPriority w:val="1"/>
    <w:qFormat/>
    <w:rsid w:val="00C6193F"/>
    <w:rPr>
      <w:rFonts w:ascii="Calibri" w:eastAsia="SimSun" w:hAnsi="Calibri" w:cs="Arial"/>
      <w:sz w:val="22"/>
      <w:szCs w:val="22"/>
    </w:rPr>
  </w:style>
  <w:style w:type="paragraph" w:customStyle="1" w:styleId="Default">
    <w:name w:val="Default"/>
    <w:rsid w:val="00024663"/>
    <w:pPr>
      <w:autoSpaceDE w:val="0"/>
      <w:autoSpaceDN w:val="0"/>
      <w:adjustRightInd w:val="0"/>
    </w:pPr>
    <w:rPr>
      <w:rFonts w:ascii="Verdana" w:hAnsi="Verdana" w:cs="Verdana"/>
      <w:color w:val="000000"/>
      <w:sz w:val="24"/>
      <w:szCs w:val="24"/>
      <w:lang w:val="en-US" w:eastAsia="en-US"/>
    </w:rPr>
  </w:style>
  <w:style w:type="character" w:customStyle="1" w:styleId="st">
    <w:name w:val="st"/>
    <w:basedOn w:val="DefaultParagraphFont"/>
    <w:rsid w:val="005B290D"/>
  </w:style>
  <w:style w:type="character" w:styleId="Emphasis">
    <w:name w:val="Emphasis"/>
    <w:basedOn w:val="DefaultParagraphFont"/>
    <w:uiPriority w:val="20"/>
    <w:qFormat/>
    <w:rsid w:val="00A44E0D"/>
    <w:rPr>
      <w:b/>
      <w:bCs/>
      <w:i w:val="0"/>
      <w:iCs w:val="0"/>
    </w:rPr>
  </w:style>
  <w:style w:type="character" w:customStyle="1" w:styleId="HealthbodyChar">
    <w:name w:val="Health body Char"/>
    <w:link w:val="Healthbody"/>
    <w:rsid w:val="00F91CB3"/>
    <w:rPr>
      <w:rFonts w:ascii="Arial" w:eastAsia="MS Mincho"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qFormat/>
    <w:rsid w:val="002A04CE"/>
    <w:pPr>
      <w:keepNext/>
      <w:pageBreakBefore/>
      <w:numPr>
        <w:numId w:val="8"/>
      </w:numPr>
      <w:spacing w:before="120" w:after="360" w:line="240" w:lineRule="atLeast"/>
      <w:jc w:val="both"/>
      <w:outlineLvl w:val="0"/>
    </w:pPr>
    <w:rPr>
      <w:rFonts w:ascii="Arial" w:eastAsia="Calibri" w:hAnsi="Arial"/>
      <w:bCs/>
      <w:color w:val="0079C1"/>
      <w:kern w:val="32"/>
      <w:sz w:val="32"/>
      <w:szCs w:val="32"/>
      <w:lang w:val="x-none" w:eastAsia="x-none"/>
    </w:rPr>
  </w:style>
  <w:style w:type="paragraph" w:styleId="Heading2">
    <w:name w:val="heading 2"/>
    <w:basedOn w:val="Heading1"/>
    <w:next w:val="Normal"/>
    <w:link w:val="Heading2Char"/>
    <w:qFormat/>
    <w:rsid w:val="002A04CE"/>
    <w:pPr>
      <w:pageBreakBefore w:val="0"/>
      <w:numPr>
        <w:numId w:val="0"/>
      </w:numPr>
      <w:spacing w:after="240"/>
      <w:outlineLvl w:val="1"/>
    </w:pPr>
    <w:rPr>
      <w:bCs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04105D"/>
    <w:rPr>
      <w:rFonts w:ascii="Arial" w:eastAsia="MS Mincho" w:hAnsi="Arial"/>
      <w:b/>
      <w:sz w:val="24"/>
      <w:szCs w:val="24"/>
      <w:lang w:val="en-AU" w:eastAsia="en-US" w:bidi="ar-SA"/>
    </w:rPr>
  </w:style>
  <w:style w:type="character" w:styleId="CommentReference">
    <w:name w:val="annotation reference"/>
    <w:uiPriority w:val="99"/>
    <w:semiHidden/>
    <w:rsid w:val="00924C27"/>
    <w:rPr>
      <w:sz w:val="16"/>
      <w:szCs w:val="16"/>
    </w:rPr>
  </w:style>
  <w:style w:type="paragraph" w:styleId="CommentText">
    <w:name w:val="annotation text"/>
    <w:basedOn w:val="Normal"/>
    <w:semiHidden/>
    <w:rsid w:val="00924C27"/>
    <w:rPr>
      <w:sz w:val="20"/>
      <w:szCs w:val="20"/>
    </w:rPr>
  </w:style>
  <w:style w:type="paragraph" w:styleId="CommentSubject">
    <w:name w:val="annotation subject"/>
    <w:basedOn w:val="CommentText"/>
    <w:next w:val="CommentText"/>
    <w:semiHidden/>
    <w:rsid w:val="00924C27"/>
    <w:rPr>
      <w:b/>
      <w:bCs/>
    </w:rPr>
  </w:style>
  <w:style w:type="paragraph" w:styleId="BalloonText">
    <w:name w:val="Balloon Text"/>
    <w:basedOn w:val="Normal"/>
    <w:semiHidden/>
    <w:rsid w:val="00924C27"/>
    <w:rPr>
      <w:rFonts w:ascii="Tahoma" w:hAnsi="Tahoma" w:cs="Tahoma"/>
      <w:sz w:val="16"/>
      <w:szCs w:val="16"/>
    </w:rPr>
  </w:style>
  <w:style w:type="character" w:customStyle="1" w:styleId="Heading1Char">
    <w:name w:val="Heading 1 Char"/>
    <w:link w:val="Heading1"/>
    <w:rsid w:val="002A04CE"/>
    <w:rPr>
      <w:rFonts w:ascii="Arial" w:eastAsia="Calibri" w:hAnsi="Arial"/>
      <w:bCs/>
      <w:color w:val="0079C1"/>
      <w:kern w:val="32"/>
      <w:sz w:val="32"/>
      <w:szCs w:val="32"/>
      <w:lang w:val="x-none" w:eastAsia="x-none"/>
    </w:rPr>
  </w:style>
  <w:style w:type="character" w:customStyle="1" w:styleId="Heading2Char">
    <w:name w:val="Heading 2 Char"/>
    <w:link w:val="Heading2"/>
    <w:rsid w:val="002A04CE"/>
    <w:rPr>
      <w:rFonts w:ascii="Arial" w:eastAsia="Calibri" w:hAnsi="Arial"/>
      <w:iCs/>
      <w:color w:val="0079C1"/>
      <w:kern w:val="32"/>
      <w:sz w:val="28"/>
      <w:szCs w:val="28"/>
      <w:lang w:val="x-none" w:eastAsia="x-none" w:bidi="ar-SA"/>
    </w:rPr>
  </w:style>
  <w:style w:type="character" w:styleId="Hyperlink">
    <w:name w:val="Hyperlink"/>
    <w:semiHidden/>
    <w:rsid w:val="002A04CE"/>
    <w:rPr>
      <w:color w:val="0000FF"/>
      <w:u w:val="single"/>
    </w:rPr>
  </w:style>
  <w:style w:type="character" w:customStyle="1" w:styleId="FootnoteTextChar">
    <w:name w:val="Footnote Text Char"/>
    <w:link w:val="FootnoteText"/>
    <w:semiHidden/>
    <w:rsid w:val="002A04CE"/>
    <w:rPr>
      <w:rFonts w:ascii="Cambria" w:eastAsia="Cambria" w:hAnsi="Cambria"/>
      <w:sz w:val="24"/>
      <w:szCs w:val="24"/>
      <w:lang w:val="en-US" w:eastAsia="en-US" w:bidi="ar-SA"/>
    </w:rPr>
  </w:style>
  <w:style w:type="paragraph" w:styleId="ListParagraph">
    <w:name w:val="List Paragraph"/>
    <w:basedOn w:val="Normal"/>
    <w:qFormat/>
    <w:rsid w:val="002A04CE"/>
    <w:pPr>
      <w:spacing w:before="120" w:after="120"/>
      <w:ind w:left="720"/>
      <w:contextualSpacing/>
    </w:pPr>
    <w:rPr>
      <w:rFonts w:ascii="Times New Roman" w:eastAsia="Calibri" w:hAnsi="Times New Roman"/>
      <w:lang w:val="en-AU" w:eastAsia="en-AU"/>
    </w:rPr>
  </w:style>
  <w:style w:type="paragraph" w:customStyle="1" w:styleId="Standard">
    <w:name w:val="Standard"/>
    <w:rsid w:val="00CB6A55"/>
    <w:pPr>
      <w:suppressAutoHyphens/>
      <w:autoSpaceDN w:val="0"/>
      <w:textAlignment w:val="baseline"/>
    </w:pPr>
    <w:rPr>
      <w:rFonts w:ascii="Arial" w:hAnsi="Arial" w:cs="Arial"/>
      <w:color w:val="000000"/>
      <w:kern w:val="3"/>
      <w:sz w:val="24"/>
      <w:szCs w:val="24"/>
      <w:lang w:val="en-US" w:eastAsia="en-US"/>
    </w:rPr>
  </w:style>
  <w:style w:type="numbering" w:customStyle="1" w:styleId="WWNum5">
    <w:name w:val="WWNum5"/>
    <w:rsid w:val="0086263E"/>
    <w:pPr>
      <w:numPr>
        <w:numId w:val="11"/>
      </w:numPr>
    </w:pPr>
  </w:style>
  <w:style w:type="numbering" w:customStyle="1" w:styleId="WW8Num1">
    <w:name w:val="WW8Num1"/>
    <w:rsid w:val="0086263E"/>
    <w:pPr>
      <w:numPr>
        <w:numId w:val="12"/>
      </w:numPr>
    </w:pPr>
  </w:style>
  <w:style w:type="numbering" w:customStyle="1" w:styleId="WW8Num2">
    <w:name w:val="WW8Num2"/>
    <w:rsid w:val="0086263E"/>
    <w:pPr>
      <w:numPr>
        <w:numId w:val="13"/>
      </w:numPr>
    </w:pPr>
  </w:style>
  <w:style w:type="numbering" w:customStyle="1" w:styleId="RTFNum2">
    <w:name w:val="RTF_Num 2"/>
    <w:rsid w:val="0086263E"/>
    <w:pPr>
      <w:numPr>
        <w:numId w:val="14"/>
      </w:numPr>
    </w:pPr>
  </w:style>
  <w:style w:type="paragraph" w:styleId="NoSpacing">
    <w:name w:val="No Spacing"/>
    <w:uiPriority w:val="1"/>
    <w:qFormat/>
    <w:rsid w:val="00C6193F"/>
    <w:rPr>
      <w:rFonts w:ascii="Calibri" w:eastAsia="SimSun" w:hAnsi="Calibri" w:cs="Arial"/>
      <w:sz w:val="22"/>
      <w:szCs w:val="22"/>
    </w:rPr>
  </w:style>
  <w:style w:type="paragraph" w:customStyle="1" w:styleId="Default">
    <w:name w:val="Default"/>
    <w:rsid w:val="00024663"/>
    <w:pPr>
      <w:autoSpaceDE w:val="0"/>
      <w:autoSpaceDN w:val="0"/>
      <w:adjustRightInd w:val="0"/>
    </w:pPr>
    <w:rPr>
      <w:rFonts w:ascii="Verdana" w:hAnsi="Verdana" w:cs="Verdana"/>
      <w:color w:val="000000"/>
      <w:sz w:val="24"/>
      <w:szCs w:val="24"/>
      <w:lang w:val="en-US" w:eastAsia="en-US"/>
    </w:rPr>
  </w:style>
  <w:style w:type="character" w:customStyle="1" w:styleId="st">
    <w:name w:val="st"/>
    <w:basedOn w:val="DefaultParagraphFont"/>
    <w:rsid w:val="005B290D"/>
  </w:style>
  <w:style w:type="character" w:styleId="Emphasis">
    <w:name w:val="Emphasis"/>
    <w:basedOn w:val="DefaultParagraphFont"/>
    <w:uiPriority w:val="20"/>
    <w:qFormat/>
    <w:rsid w:val="00A44E0D"/>
    <w:rPr>
      <w:b/>
      <w:bCs/>
      <w:i w:val="0"/>
      <w:iCs w:val="0"/>
    </w:rPr>
  </w:style>
  <w:style w:type="character" w:customStyle="1" w:styleId="HealthbodyChar">
    <w:name w:val="Health body Char"/>
    <w:link w:val="Healthbody"/>
    <w:rsid w:val="00F91CB3"/>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6676">
      <w:bodyDiv w:val="1"/>
      <w:marLeft w:val="0"/>
      <w:marRight w:val="0"/>
      <w:marTop w:val="0"/>
      <w:marBottom w:val="0"/>
      <w:divBdr>
        <w:top w:val="none" w:sz="0" w:space="0" w:color="auto"/>
        <w:left w:val="none" w:sz="0" w:space="0" w:color="auto"/>
        <w:bottom w:val="none" w:sz="0" w:space="0" w:color="auto"/>
        <w:right w:val="none" w:sz="0" w:space="0" w:color="auto"/>
      </w:divBdr>
    </w:div>
    <w:div w:id="721636390">
      <w:bodyDiv w:val="1"/>
      <w:marLeft w:val="0"/>
      <w:marRight w:val="0"/>
      <w:marTop w:val="0"/>
      <w:marBottom w:val="0"/>
      <w:divBdr>
        <w:top w:val="none" w:sz="0" w:space="0" w:color="auto"/>
        <w:left w:val="none" w:sz="0" w:space="0" w:color="auto"/>
        <w:bottom w:val="none" w:sz="0" w:space="0" w:color="auto"/>
        <w:right w:val="none" w:sz="0" w:space="0" w:color="auto"/>
      </w:divBdr>
    </w:div>
    <w:div w:id="998774629">
      <w:bodyDiv w:val="1"/>
      <w:marLeft w:val="0"/>
      <w:marRight w:val="0"/>
      <w:marTop w:val="0"/>
      <w:marBottom w:val="0"/>
      <w:divBdr>
        <w:top w:val="none" w:sz="0" w:space="0" w:color="auto"/>
        <w:left w:val="none" w:sz="0" w:space="0" w:color="auto"/>
        <w:bottom w:val="none" w:sz="0" w:space="0" w:color="auto"/>
        <w:right w:val="none" w:sz="0" w:space="0" w:color="auto"/>
      </w:divBdr>
    </w:div>
    <w:div w:id="1101220284">
      <w:bodyDiv w:val="1"/>
      <w:marLeft w:val="0"/>
      <w:marRight w:val="0"/>
      <w:marTop w:val="0"/>
      <w:marBottom w:val="0"/>
      <w:divBdr>
        <w:top w:val="none" w:sz="0" w:space="0" w:color="auto"/>
        <w:left w:val="none" w:sz="0" w:space="0" w:color="auto"/>
        <w:bottom w:val="none" w:sz="0" w:space="0" w:color="auto"/>
        <w:right w:val="none" w:sz="0" w:space="0" w:color="auto"/>
      </w:divBdr>
    </w:div>
    <w:div w:id="1253927349">
      <w:bodyDiv w:val="1"/>
      <w:marLeft w:val="0"/>
      <w:marRight w:val="0"/>
      <w:marTop w:val="0"/>
      <w:marBottom w:val="0"/>
      <w:divBdr>
        <w:top w:val="none" w:sz="0" w:space="0" w:color="auto"/>
        <w:left w:val="none" w:sz="0" w:space="0" w:color="auto"/>
        <w:bottom w:val="none" w:sz="0" w:space="0" w:color="auto"/>
        <w:right w:val="none" w:sz="0" w:space="0" w:color="auto"/>
      </w:divBdr>
    </w:div>
    <w:div w:id="1324506085">
      <w:bodyDiv w:val="1"/>
      <w:marLeft w:val="0"/>
      <w:marRight w:val="0"/>
      <w:marTop w:val="0"/>
      <w:marBottom w:val="0"/>
      <w:divBdr>
        <w:top w:val="none" w:sz="0" w:space="0" w:color="auto"/>
        <w:left w:val="none" w:sz="0" w:space="0" w:color="auto"/>
        <w:bottom w:val="none" w:sz="0" w:space="0" w:color="auto"/>
        <w:right w:val="none" w:sz="0" w:space="0" w:color="auto"/>
      </w:divBdr>
    </w:div>
    <w:div w:id="1333531221">
      <w:bodyDiv w:val="1"/>
      <w:marLeft w:val="0"/>
      <w:marRight w:val="0"/>
      <w:marTop w:val="0"/>
      <w:marBottom w:val="0"/>
      <w:divBdr>
        <w:top w:val="none" w:sz="0" w:space="0" w:color="auto"/>
        <w:left w:val="none" w:sz="0" w:space="0" w:color="auto"/>
        <w:bottom w:val="none" w:sz="0" w:space="0" w:color="auto"/>
        <w:right w:val="none" w:sz="0" w:space="0" w:color="auto"/>
      </w:divBdr>
    </w:div>
    <w:div w:id="1413548012">
      <w:bodyDiv w:val="1"/>
      <w:marLeft w:val="0"/>
      <w:marRight w:val="0"/>
      <w:marTop w:val="0"/>
      <w:marBottom w:val="0"/>
      <w:divBdr>
        <w:top w:val="none" w:sz="0" w:space="0" w:color="auto"/>
        <w:left w:val="none" w:sz="0" w:space="0" w:color="auto"/>
        <w:bottom w:val="none" w:sz="0" w:space="0" w:color="auto"/>
        <w:right w:val="none" w:sz="0" w:space="0" w:color="auto"/>
      </w:divBdr>
    </w:div>
    <w:div w:id="1546675856">
      <w:bodyDiv w:val="1"/>
      <w:marLeft w:val="0"/>
      <w:marRight w:val="0"/>
      <w:marTop w:val="0"/>
      <w:marBottom w:val="0"/>
      <w:divBdr>
        <w:top w:val="none" w:sz="0" w:space="0" w:color="auto"/>
        <w:left w:val="none" w:sz="0" w:space="0" w:color="auto"/>
        <w:bottom w:val="none" w:sz="0" w:space="0" w:color="auto"/>
        <w:right w:val="none" w:sz="0" w:space="0" w:color="auto"/>
      </w:divBdr>
    </w:div>
    <w:div w:id="1743141067">
      <w:bodyDiv w:val="1"/>
      <w:marLeft w:val="0"/>
      <w:marRight w:val="0"/>
      <w:marTop w:val="0"/>
      <w:marBottom w:val="0"/>
      <w:divBdr>
        <w:top w:val="none" w:sz="0" w:space="0" w:color="auto"/>
        <w:left w:val="none" w:sz="0" w:space="0" w:color="auto"/>
        <w:bottom w:val="none" w:sz="0" w:space="0" w:color="auto"/>
        <w:right w:val="none" w:sz="0" w:space="0" w:color="auto"/>
      </w:divBdr>
    </w:div>
    <w:div w:id="1879465758">
      <w:bodyDiv w:val="1"/>
      <w:marLeft w:val="0"/>
      <w:marRight w:val="0"/>
      <w:marTop w:val="0"/>
      <w:marBottom w:val="0"/>
      <w:divBdr>
        <w:top w:val="none" w:sz="0" w:space="0" w:color="auto"/>
        <w:left w:val="none" w:sz="0" w:space="0" w:color="auto"/>
        <w:bottom w:val="none" w:sz="0" w:space="0" w:color="auto"/>
        <w:right w:val="none" w:sz="0" w:space="0" w:color="auto"/>
      </w:divBdr>
    </w:div>
    <w:div w:id="1925408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cportal.net.au/vicpor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gov.au/internet/otd/publishing.nsf/content/ra-int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14</Pages>
  <Words>7161</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47948</CharactersWithSpaces>
  <SharedDoc>false</SharedDoc>
  <HLinks>
    <vt:vector size="6" baseType="variant">
      <vt:variant>
        <vt:i4>65629</vt:i4>
      </vt:variant>
      <vt:variant>
        <vt:i4>0</vt:i4>
      </vt:variant>
      <vt:variant>
        <vt:i4>0</vt:i4>
      </vt:variant>
      <vt:variant>
        <vt:i4>5</vt:i4>
      </vt:variant>
      <vt:variant>
        <vt:lpwstr>http://www.health.gov.au/internet/otd/publishing.nsf/content/ra-intro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 Renzo</dc:creator>
  <cp:lastModifiedBy>Yvette Buffon</cp:lastModifiedBy>
  <cp:revision>22</cp:revision>
  <cp:lastPrinted>2013-10-31T09:13:00Z</cp:lastPrinted>
  <dcterms:created xsi:type="dcterms:W3CDTF">2013-10-31T06:06:00Z</dcterms:created>
  <dcterms:modified xsi:type="dcterms:W3CDTF">2014-02-13T00:34:00Z</dcterms:modified>
</cp:coreProperties>
</file>